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1C99" w14:textId="77777777" w:rsidR="004474B0" w:rsidRPr="00BC3EBB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8"/>
          <w:szCs w:val="48"/>
        </w:rPr>
      </w:pPr>
      <w:r w:rsidRPr="00BC3EBB">
        <w:rPr>
          <w:b/>
          <w:sz w:val="48"/>
          <w:szCs w:val="48"/>
        </w:rPr>
        <w:t>Relazione annuale RPCT</w:t>
      </w:r>
    </w:p>
    <w:p w14:paraId="206EEABB" w14:textId="77777777" w:rsidR="00651A97" w:rsidRPr="00BC3EBB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8"/>
          <w:szCs w:val="48"/>
        </w:rPr>
      </w:pPr>
    </w:p>
    <w:p w14:paraId="5A2FD6E8" w14:textId="7426AA45" w:rsidR="00380B17" w:rsidRPr="00BC3EBB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8"/>
          <w:szCs w:val="48"/>
        </w:rPr>
      </w:pPr>
      <w:r w:rsidRPr="00BC3EBB">
        <w:rPr>
          <w:b/>
          <w:sz w:val="48"/>
          <w:szCs w:val="48"/>
        </w:rPr>
        <w:t>Anno 202</w:t>
      </w:r>
      <w:r w:rsidR="00D6775D">
        <w:rPr>
          <w:b/>
          <w:sz w:val="48"/>
          <w:szCs w:val="48"/>
        </w:rPr>
        <w:t>2</w:t>
      </w:r>
    </w:p>
    <w:p w14:paraId="78546D5A" w14:textId="77777777" w:rsidR="00DF06C3" w:rsidRDefault="00DF06C3"/>
    <w:p w14:paraId="59F40530" w14:textId="77777777" w:rsidR="00DF06C3" w:rsidRDefault="00DF06C3"/>
    <w:p w14:paraId="0177E712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E84ED7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314C7EA9" w14:textId="79442E1E" w:rsidR="00F219A1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67837107" w:history="1">
            <w:r w:rsidR="00F219A1" w:rsidRPr="00922C80">
              <w:rPr>
                <w:rStyle w:val="Collegamentoipertestuale"/>
                <w:noProof/>
              </w:rPr>
              <w:t>SEZIONE 1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ANAGRAFICA SOCIETÀ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_Toc67837107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3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EA3D975" w14:textId="5BBDBE80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08" w:history="1">
            <w:r w:rsidR="00F219A1" w:rsidRPr="00922C80">
              <w:rPr>
                <w:rStyle w:val="Collegamentoipertestuale"/>
                <w:noProof/>
              </w:rPr>
              <w:t>SEZIONE 2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ANAGRAFICA RPCT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_Toc67837108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3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4EDA42F5" w14:textId="1A34E2DA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09" w:history="1">
            <w:r w:rsidR="00F219A1" w:rsidRPr="00922C80">
              <w:rPr>
                <w:rStyle w:val="Collegamentoipertestuale"/>
                <w:noProof/>
              </w:rPr>
              <w:t>SEZIONE 3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RENDICONTAZIONE MISURE GENERALI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_Toc67837109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3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26478899" w14:textId="7564F417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10" w:history="1">
            <w:r w:rsidR="00F219A1" w:rsidRPr="00922C80">
              <w:rPr>
                <w:rStyle w:val="Collegamentoipertestuale"/>
                <w:noProof/>
              </w:rPr>
              <w:t>3.1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Sintesi dell’attuazione delle misure generali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_Toc67837110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3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21501606" w14:textId="1F97D2E8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11" w:history="1">
            <w:r w:rsidR="00F219A1" w:rsidRPr="00922C80">
              <w:rPr>
                <w:rStyle w:val="Collegamentoipertestuale"/>
                <w:noProof/>
              </w:rPr>
              <w:t>3.2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Doveri di comportamento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_Toc67837111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4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18699FC0" w14:textId="1DD66D08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12" w:history="1">
            <w:r w:rsidR="00F219A1" w:rsidRPr="00922C80">
              <w:rPr>
                <w:rStyle w:val="Collegamentoipertestuale"/>
                <w:noProof/>
              </w:rPr>
              <w:t>3.3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Rotazione del personale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_Toc67837112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4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27224BBD" w14:textId="1222D61B" w:rsidR="00F219A1" w:rsidRDefault="007A698D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67837113" w:history="1">
            <w:r w:rsidR="00F219A1" w:rsidRPr="00922C80">
              <w:rPr>
                <w:rStyle w:val="Collegamentoipertestuale"/>
                <w:noProof/>
              </w:rPr>
              <w:t>3.3.1</w:t>
            </w:r>
            <w:r w:rsidR="00F219A1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Rotazione ordinaria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_Toc67837113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4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69C053F8" w14:textId="0F8B20E8" w:rsidR="00F219A1" w:rsidRDefault="007A698D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67837114" w:history="1">
            <w:r w:rsidR="00F219A1" w:rsidRPr="00922C80">
              <w:rPr>
                <w:rStyle w:val="Collegamentoipertestuale"/>
                <w:noProof/>
              </w:rPr>
              <w:t>3.3.2</w:t>
            </w:r>
            <w:r w:rsidR="00F219A1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Rotazione straordinaria</w:t>
            </w:r>
            <w:r w:rsidR="00F219A1">
              <w:rPr>
                <w:noProof/>
                <w:webHidden/>
              </w:rPr>
              <w:tab/>
            </w:r>
            <w:r w:rsidR="00F219A1" w:rsidRPr="003723FF">
              <w:rPr>
                <w:b/>
                <w:bCs/>
                <w:noProof/>
                <w:webHidden/>
              </w:rPr>
              <w:fldChar w:fldCharType="begin"/>
            </w:r>
            <w:r w:rsidR="00F219A1" w:rsidRPr="003723FF">
              <w:rPr>
                <w:b/>
                <w:bCs/>
                <w:noProof/>
                <w:webHidden/>
              </w:rPr>
              <w:instrText xml:space="preserve"> PAGEREF _Toc67837114 \h </w:instrText>
            </w:r>
            <w:r w:rsidR="00F219A1" w:rsidRPr="003723FF">
              <w:rPr>
                <w:b/>
                <w:bCs/>
                <w:noProof/>
                <w:webHidden/>
              </w:rPr>
            </w:r>
            <w:r w:rsidR="00F219A1" w:rsidRPr="003723FF">
              <w:rPr>
                <w:b/>
                <w:bCs/>
                <w:noProof/>
                <w:webHidden/>
              </w:rPr>
              <w:fldChar w:fldCharType="separate"/>
            </w:r>
            <w:r w:rsidR="00CF0A07" w:rsidRPr="003723FF">
              <w:rPr>
                <w:b/>
                <w:bCs/>
                <w:noProof/>
                <w:webHidden/>
              </w:rPr>
              <w:t>5</w:t>
            </w:r>
            <w:r w:rsidR="00F219A1" w:rsidRPr="003723F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26247C9" w14:textId="51222854" w:rsidR="00F219A1" w:rsidRDefault="007A698D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67837115" w:history="1">
            <w:r w:rsidR="00F219A1" w:rsidRPr="00922C80">
              <w:rPr>
                <w:rStyle w:val="Collegamentoipertestuale"/>
                <w:noProof/>
              </w:rPr>
              <w:t>3.3.3</w:t>
            </w:r>
            <w:r w:rsidR="00F219A1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Trasferimento d’ufficio</w:t>
            </w:r>
            <w:r w:rsidR="00F219A1">
              <w:rPr>
                <w:noProof/>
                <w:webHidden/>
              </w:rPr>
              <w:tab/>
            </w:r>
            <w:r w:rsidR="00F219A1" w:rsidRPr="003723FF">
              <w:rPr>
                <w:b/>
                <w:bCs/>
                <w:noProof/>
                <w:webHidden/>
              </w:rPr>
              <w:fldChar w:fldCharType="begin"/>
            </w:r>
            <w:r w:rsidR="00F219A1" w:rsidRPr="003723FF">
              <w:rPr>
                <w:b/>
                <w:bCs/>
                <w:noProof/>
                <w:webHidden/>
              </w:rPr>
              <w:instrText xml:space="preserve"> PAGEREF _Toc67837115 \h </w:instrText>
            </w:r>
            <w:r w:rsidR="00F219A1" w:rsidRPr="003723FF">
              <w:rPr>
                <w:b/>
                <w:bCs/>
                <w:noProof/>
                <w:webHidden/>
              </w:rPr>
            </w:r>
            <w:r w:rsidR="00F219A1" w:rsidRPr="003723FF">
              <w:rPr>
                <w:b/>
                <w:bCs/>
                <w:noProof/>
                <w:webHidden/>
              </w:rPr>
              <w:fldChar w:fldCharType="separate"/>
            </w:r>
            <w:r w:rsidR="00CF0A07" w:rsidRPr="003723FF">
              <w:rPr>
                <w:b/>
                <w:bCs/>
                <w:noProof/>
                <w:webHidden/>
              </w:rPr>
              <w:t>5</w:t>
            </w:r>
            <w:r w:rsidR="00F219A1" w:rsidRPr="003723F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F6892B4" w14:textId="00DB03FF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16" w:history="1">
            <w:r w:rsidR="00F219A1" w:rsidRPr="00922C80">
              <w:rPr>
                <w:rStyle w:val="Collegamentoipertestuale"/>
                <w:noProof/>
              </w:rPr>
              <w:t>3.4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in materia di conflitto di interessi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_Toc67837116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5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49D0F56E" w14:textId="2655DD41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17" w:history="1">
            <w:r w:rsidR="00F219A1" w:rsidRPr="00922C80">
              <w:rPr>
                <w:rStyle w:val="Collegamentoipertestuale"/>
                <w:noProof/>
              </w:rPr>
              <w:t>3.5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Whistleblowing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_Toc67837117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5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70646855" w14:textId="27AD94BC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18" w:history="1">
            <w:r w:rsidR="00F219A1" w:rsidRPr="00922C80">
              <w:rPr>
                <w:rStyle w:val="Collegamentoipertestuale"/>
                <w:noProof/>
              </w:rPr>
              <w:t>3.6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Formazione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_Toc67837118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5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70369E2" w14:textId="48EBF814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19" w:history="1">
            <w:r w:rsidR="00F219A1" w:rsidRPr="00922C80">
              <w:rPr>
                <w:rStyle w:val="Collegamentoipertestuale"/>
                <w:noProof/>
              </w:rPr>
              <w:t>3.7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Trasparenza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_Toc67837119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6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3901D73F" w14:textId="47C2BD5D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20" w:history="1">
            <w:r w:rsidR="00F219A1" w:rsidRPr="00922C80">
              <w:rPr>
                <w:rStyle w:val="Collegamentoipertestuale"/>
                <w:noProof/>
              </w:rPr>
              <w:t>3.8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Pantouflage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_Toc67837120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7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16AB650E" w14:textId="0C424B87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21" w:history="1">
            <w:r w:rsidR="00F219A1" w:rsidRPr="00922C80">
              <w:rPr>
                <w:rStyle w:val="Collegamentoipertestuale"/>
                <w:noProof/>
              </w:rPr>
              <w:t>3.9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Commissioni e conferimento incarichi in caso di condanna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_Toc67837121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7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48508368" w14:textId="600AD6A9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22" w:history="1">
            <w:r w:rsidR="00F219A1" w:rsidRPr="00922C80">
              <w:rPr>
                <w:rStyle w:val="Collegamentoipertestuale"/>
                <w:noProof/>
              </w:rPr>
              <w:t>3.10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Patti di integrità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_Toc67837122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8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3CE04E5" w14:textId="3572AAD9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23" w:history="1">
            <w:r w:rsidR="00F219A1" w:rsidRPr="00922C80">
              <w:rPr>
                <w:rStyle w:val="Collegamentoipertestuale"/>
                <w:noProof/>
              </w:rPr>
              <w:t>3.11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Considerazioni conclusive sull’attuazione delle misure generali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_Toc67837123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8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219EB669" w14:textId="2B027973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24" w:history="1">
            <w:r w:rsidR="00F219A1" w:rsidRPr="00922C80">
              <w:rPr>
                <w:rStyle w:val="Collegamentoipertestuale"/>
                <w:noProof/>
              </w:rPr>
              <w:t>SEZIONE 4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RENDICONTAZIONE MISURE SPECIFICHE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_Toc67837124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8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60C89F3A" w14:textId="4BD21CEE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25" w:history="1">
            <w:r w:rsidR="00F219A1" w:rsidRPr="00922C80">
              <w:rPr>
                <w:rStyle w:val="Collegamentoipertestuale"/>
                <w:noProof/>
              </w:rPr>
              <w:t>4.1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Quadro di sintesi dell’attuazione delle misure specifiche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_Toc67837125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8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0B91600C" w14:textId="3D1EE72D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26" w:history="1">
            <w:r w:rsidR="00F219A1" w:rsidRPr="00922C80">
              <w:rPr>
                <w:rStyle w:val="Collegamentoipertestuale"/>
                <w:noProof/>
              </w:rPr>
              <w:t>SEZIONE 5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MONITORAGGIO GESTIONE DEL RISCHIO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_Toc67837126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9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631E5605" w14:textId="7ED02E48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27" w:history="1">
            <w:r w:rsidR="00F219A1" w:rsidRPr="00922C80">
              <w:rPr>
                <w:rStyle w:val="Collegamentoipertestuale"/>
                <w:noProof/>
              </w:rPr>
              <w:t>SEZIONE 6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MONITORAGGIO PROCEDIMENTI PENALI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_Toc67837127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9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1DD6D75C" w14:textId="0EAF6BFC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28" w:history="1">
            <w:r w:rsidR="00F219A1" w:rsidRPr="00922C80">
              <w:rPr>
                <w:rStyle w:val="Collegamentoipertestuale"/>
                <w:noProof/>
              </w:rPr>
              <w:t>SEZIONE 7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MONITORAGGIO PROCEDIMENTI DISCIPLINARI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_Toc67837128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9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6109A38" w14:textId="598D4CED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29" w:history="1">
            <w:r w:rsidR="00F219A1" w:rsidRPr="00922C80">
              <w:rPr>
                <w:rStyle w:val="Collegamentoipertestuale"/>
                <w:noProof/>
              </w:rPr>
              <w:t>SEZIONE 8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CONSIDERAZIONI GENERALI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_Toc67837129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9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5F94037" w14:textId="01F01795" w:rsidR="00F219A1" w:rsidRDefault="007A698D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67837130" w:history="1">
            <w:r w:rsidR="00F219A1" w:rsidRPr="00922C80">
              <w:rPr>
                <w:rStyle w:val="Collegamentoipertestuale"/>
                <w:noProof/>
              </w:rPr>
              <w:t>SEZIONE 9</w:t>
            </w:r>
            <w:r w:rsidR="00F219A1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MONITORAGGIO MISURE SPECIFICHE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_Toc67837130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10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6217112" w14:textId="1A7E5950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1" w:history="1">
            <w:r w:rsidR="00F219A1" w:rsidRPr="00922C80">
              <w:rPr>
                <w:rStyle w:val="Collegamentoipertestuale"/>
                <w:noProof/>
              </w:rPr>
              <w:t>9.1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controllo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_Toc67837131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10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BFB9960" w14:textId="197E4CAB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2" w:history="1">
            <w:r w:rsidR="00F219A1" w:rsidRPr="00922C80">
              <w:rPr>
                <w:rStyle w:val="Collegamentoipertestuale"/>
                <w:noProof/>
              </w:rPr>
              <w:t>9.2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trasparenza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_Toc67837132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10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5E37EFE9" w14:textId="21D7ED87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3" w:history="1">
            <w:r w:rsidR="00F219A1" w:rsidRPr="00922C80">
              <w:rPr>
                <w:rStyle w:val="Collegamentoipertestuale"/>
                <w:noProof/>
              </w:rPr>
              <w:t>9.3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_Toc67837133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11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22FB9709" w14:textId="2BB06B2D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4" w:history="1">
            <w:r w:rsidR="00F219A1" w:rsidRPr="00922C80">
              <w:rPr>
                <w:rStyle w:val="Collegamentoipertestuale"/>
                <w:noProof/>
              </w:rPr>
              <w:t>9.4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regolamentazione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_Toc67837134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11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28DE027F" w14:textId="38C15B14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5" w:history="1">
            <w:r w:rsidR="00F219A1" w:rsidRPr="00922C80">
              <w:rPr>
                <w:rStyle w:val="Collegamentoipertestuale"/>
                <w:noProof/>
              </w:rPr>
              <w:t>9.5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semplificazione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_Toc67837135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11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68128DE3" w14:textId="7F52E21D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6" w:history="1">
            <w:r w:rsidR="00F219A1" w:rsidRPr="00922C80">
              <w:rPr>
                <w:rStyle w:val="Collegamentoipertestuale"/>
                <w:noProof/>
              </w:rPr>
              <w:t>9.6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formazione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_Toc67837136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11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2ADA2FCF" w14:textId="4B930179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7" w:history="1">
            <w:r w:rsidR="00F219A1" w:rsidRPr="00922C80">
              <w:rPr>
                <w:rStyle w:val="Collegamentoipertestuale"/>
                <w:noProof/>
              </w:rPr>
              <w:t>9.7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rotazione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_Toc67837137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12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0F68D2B9" w14:textId="2E4CDF76" w:rsidR="00F219A1" w:rsidRDefault="007A698D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67837138" w:history="1">
            <w:r w:rsidR="00F219A1" w:rsidRPr="00922C80">
              <w:rPr>
                <w:rStyle w:val="Collegamentoipertestuale"/>
                <w:noProof/>
              </w:rPr>
              <w:t>9.8</w:t>
            </w:r>
            <w:r w:rsidR="00F219A1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F219A1" w:rsidRPr="00922C80">
              <w:rPr>
                <w:rStyle w:val="Collegamentoipertestuale"/>
                <w:noProof/>
              </w:rPr>
              <w:t>Misure specifiche di disciplina del conflitto di interessi</w:t>
            </w:r>
            <w:r w:rsidR="00F219A1">
              <w:rPr>
                <w:noProof/>
                <w:webHidden/>
              </w:rPr>
              <w:tab/>
            </w:r>
            <w:r w:rsidR="00F219A1">
              <w:rPr>
                <w:noProof/>
                <w:webHidden/>
              </w:rPr>
              <w:fldChar w:fldCharType="begin"/>
            </w:r>
            <w:r w:rsidR="00F219A1">
              <w:rPr>
                <w:noProof/>
                <w:webHidden/>
              </w:rPr>
              <w:instrText xml:space="preserve"> PAGEREF _Toc67837138 \h </w:instrText>
            </w:r>
            <w:r w:rsidR="00F219A1">
              <w:rPr>
                <w:noProof/>
                <w:webHidden/>
              </w:rPr>
            </w:r>
            <w:r w:rsidR="00F219A1">
              <w:rPr>
                <w:noProof/>
                <w:webHidden/>
              </w:rPr>
              <w:fldChar w:fldCharType="separate"/>
            </w:r>
            <w:r w:rsidR="00CF0A07">
              <w:rPr>
                <w:noProof/>
                <w:webHidden/>
              </w:rPr>
              <w:t>13</w:t>
            </w:r>
            <w:r w:rsidR="00F219A1">
              <w:rPr>
                <w:noProof/>
                <w:webHidden/>
              </w:rPr>
              <w:fldChar w:fldCharType="end"/>
            </w:r>
          </w:hyperlink>
        </w:p>
        <w:p w14:paraId="4825D77A" w14:textId="4368B15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6EC8325E" w14:textId="77777777" w:rsidR="00C829E4" w:rsidRPr="00380B17" w:rsidRDefault="00C829E4"/>
    <w:p w14:paraId="11413231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0D2F46F7" w14:textId="4EB8F74E" w:rsidR="00A82AEF" w:rsidRPr="008C5207" w:rsidRDefault="00A82AEF" w:rsidP="00380B17">
      <w:pPr>
        <w:pStyle w:val="Titolo1"/>
      </w:pPr>
      <w:bookmarkStart w:id="0" w:name="_Toc67837107"/>
      <w:r w:rsidRPr="008C5207">
        <w:lastRenderedPageBreak/>
        <w:t xml:space="preserve">ANAGRAFICA </w:t>
      </w:r>
      <w:r w:rsidR="00F22960">
        <w:t>SOCIETÀ</w:t>
      </w:r>
      <w:bookmarkEnd w:id="0"/>
    </w:p>
    <w:p w14:paraId="69C217F1" w14:textId="77777777" w:rsidR="00DF06C3" w:rsidRDefault="00DF06C3"/>
    <w:p w14:paraId="561D6AD1" w14:textId="77777777"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4197ADD7" w14:textId="77777777" w:rsidR="00234BAF" w:rsidRDefault="00A82AEF" w:rsidP="00A82AEF">
      <w:r>
        <w:t>Codice fiscale:</w:t>
      </w:r>
      <w:r w:rsidR="00415712">
        <w:t xml:space="preserve"> </w:t>
      </w:r>
      <w:r w:rsidR="00A2153D">
        <w:t>12990150158</w:t>
      </w:r>
    </w:p>
    <w:p w14:paraId="72F4E9BE" w14:textId="77777777" w:rsidR="00D76FA5" w:rsidRDefault="00D76FA5" w:rsidP="00A82AEF">
      <w:r>
        <w:t>Partita IVA:</w:t>
      </w:r>
      <w:r w:rsidR="00884807">
        <w:t xml:space="preserve"> </w:t>
      </w:r>
      <w:r w:rsidR="00A2153D">
        <w:t>12990150158</w:t>
      </w:r>
    </w:p>
    <w:p w14:paraId="38B819A8" w14:textId="77777777" w:rsidR="00A82AEF" w:rsidRDefault="00A82AEF" w:rsidP="00A82AEF">
      <w:r>
        <w:t>Denominazione:</w:t>
      </w:r>
      <w:r w:rsidR="00884807">
        <w:t xml:space="preserve"> </w:t>
      </w:r>
      <w:r w:rsidR="00A2153D">
        <w:t>A.S.M. AZIENDA SPECIALE MULTISERVIZI S.R.L.</w:t>
      </w:r>
      <w:r w:rsidR="00415712">
        <w:t xml:space="preserve"> </w:t>
      </w:r>
    </w:p>
    <w:p w14:paraId="09BD10C9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attività di servizi </w:t>
      </w:r>
    </w:p>
    <w:p w14:paraId="35399ED3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Lombardia</w:t>
      </w:r>
    </w:p>
    <w:p w14:paraId="7E8EDA24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20 a 99</w:t>
      </w:r>
    </w:p>
    <w:p w14:paraId="4953A0F2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1</w:t>
      </w:r>
    </w:p>
    <w:p w14:paraId="28524626" w14:textId="77777777" w:rsidR="00651A97" w:rsidRDefault="00651A97" w:rsidP="00A82AEF"/>
    <w:p w14:paraId="7759D84C" w14:textId="77777777" w:rsidR="00F34EA1" w:rsidRDefault="00380B17" w:rsidP="00A82AEF">
      <w:r>
        <w:t xml:space="preserve"> </w:t>
      </w:r>
    </w:p>
    <w:p w14:paraId="4CCBDA2A" w14:textId="77777777" w:rsidR="00A82AEF" w:rsidRPr="00A82AEF" w:rsidRDefault="0066646A" w:rsidP="008C5207">
      <w:pPr>
        <w:pStyle w:val="Titolo1"/>
      </w:pPr>
      <w:bookmarkStart w:id="1" w:name="_Toc67837108"/>
      <w:r>
        <w:t xml:space="preserve">ANAGRAFICA </w:t>
      </w:r>
      <w:r w:rsidR="00A82AEF">
        <w:t>RPCT</w:t>
      </w:r>
      <w:bookmarkEnd w:id="1"/>
    </w:p>
    <w:p w14:paraId="437D4F28" w14:textId="77777777" w:rsidR="00A82AEF" w:rsidRDefault="00A82AEF" w:rsidP="00A82AEF"/>
    <w:p w14:paraId="39527977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DOMENICA</w:t>
      </w:r>
    </w:p>
    <w:p w14:paraId="2C0A8C18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CONTARTESE</w:t>
      </w:r>
      <w:r w:rsidR="00234BAF">
        <w:t xml:space="preserve"> </w:t>
      </w:r>
    </w:p>
    <w:p w14:paraId="2BAD4199" w14:textId="77777777" w:rsidR="00A82AEF" w:rsidRDefault="00A82AEF" w:rsidP="00A82AEF">
      <w:r>
        <w:t>Qualifica:</w:t>
      </w:r>
      <w:r w:rsidR="002C2A45">
        <w:t xml:space="preserve"> </w:t>
      </w:r>
      <w:r w:rsidR="00A2153D">
        <w:t>RESPONSABILE AFFARI LEGALI E CONTRATTI</w:t>
      </w:r>
      <w:r w:rsidR="00415712" w:rsidRPr="00415712">
        <w:t xml:space="preserve"> </w:t>
      </w:r>
    </w:p>
    <w:p w14:paraId="30BA4BFF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RESPONSABILE DI FUNZIONE</w:t>
      </w:r>
      <w:r w:rsidR="00781E8B">
        <w:t xml:space="preserve"> </w:t>
      </w:r>
    </w:p>
    <w:p w14:paraId="76023F10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19/03/2020</w:t>
      </w:r>
    </w:p>
    <w:p w14:paraId="4F3A4950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0A1B6FB0" w14:textId="77777777" w:rsidR="00F44674" w:rsidRDefault="00F44674" w:rsidP="00C431C9"/>
    <w:p w14:paraId="59985C72" w14:textId="77777777" w:rsidR="003C0D8A" w:rsidRPr="00A82AEF" w:rsidRDefault="003C0D8A" w:rsidP="008C5207">
      <w:pPr>
        <w:pStyle w:val="Titolo1"/>
      </w:pPr>
      <w:bookmarkStart w:id="2" w:name="OLE_LINK1"/>
      <w:bookmarkStart w:id="3" w:name="_Toc67837109"/>
      <w:r>
        <w:t>RENDICONTAZIONE MISURE GENERALI</w:t>
      </w:r>
      <w:bookmarkEnd w:id="2"/>
      <w:bookmarkEnd w:id="3"/>
    </w:p>
    <w:p w14:paraId="451F7361" w14:textId="77777777" w:rsidR="003C0D8A" w:rsidRDefault="003C0D8A" w:rsidP="0011180E">
      <w:pPr>
        <w:jc w:val="both"/>
      </w:pPr>
    </w:p>
    <w:p w14:paraId="629A34A4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</w:t>
      </w:r>
      <w:proofErr w:type="gramStart"/>
      <w:r w:rsidR="00002043">
        <w:t>ed</w:t>
      </w:r>
      <w:proofErr w:type="gramEnd"/>
      <w:r w:rsidR="00002043">
        <w:t xml:space="preserve"> identificabile del MOG</w:t>
      </w:r>
      <w:r w:rsidR="00A037CB">
        <w:t>.</w:t>
      </w:r>
    </w:p>
    <w:p w14:paraId="50E260B4" w14:textId="77777777" w:rsidR="00DD6527" w:rsidRDefault="00DD6527" w:rsidP="00DD6527">
      <w:pPr>
        <w:rPr>
          <w:i/>
        </w:rPr>
      </w:pPr>
    </w:p>
    <w:p w14:paraId="17A4AD2A" w14:textId="77777777" w:rsidR="003C0D8A" w:rsidRPr="00DD6527" w:rsidRDefault="00995656" w:rsidP="00DD6527">
      <w:pPr>
        <w:pStyle w:val="Titolo2"/>
      </w:pPr>
      <w:bookmarkStart w:id="4" w:name="_Toc67837110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2393DA95" w14:textId="77777777" w:rsidR="0026292B" w:rsidRDefault="0026292B" w:rsidP="0026292B"/>
    <w:p w14:paraId="7A35540D" w14:textId="6DAA8723" w:rsidR="0026292B" w:rsidRDefault="0026292B" w:rsidP="0026292B">
      <w:r>
        <w:t>Nel corso dell’annualità di riferimento, lo stato di programmazione e attuazione delle misure generali è sintetizzato nella seguente tabella</w:t>
      </w:r>
      <w:r w:rsidR="001A17C7">
        <w:t>:</w:t>
      </w:r>
    </w:p>
    <w:p w14:paraId="6AE67353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5FDF199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5E33A0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1936EB27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6AE7F641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60BE2E75" w14:textId="77777777" w:rsidTr="00301ADD">
        <w:trPr>
          <w:trHeight w:val="248"/>
        </w:trPr>
        <w:tc>
          <w:tcPr>
            <w:tcW w:w="4591" w:type="dxa"/>
            <w:noWrap/>
            <w:hideMark/>
          </w:tcPr>
          <w:p w14:paraId="0CE4B68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3D3C281F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7DC127D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63A959DA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7B0931A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2AC34DEE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1917104" w14:textId="534E9F59" w:rsidR="0026292B" w:rsidRPr="00E27F25" w:rsidRDefault="001A17C7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EE4A4B6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2E8F142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6D7C74D9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5A9B9D0B" w14:textId="148FD9FD" w:rsidR="0026292B" w:rsidRPr="00E27F25" w:rsidRDefault="001A17C7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036F14AE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48F9B4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5445DA39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6D1A336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29D4FCE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57790451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58A77E9A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CB0B85B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7CF5F360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80B5606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25EFE2E6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EE0464D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397AFFE8" w14:textId="77777777" w:rsidTr="00843542">
        <w:trPr>
          <w:trHeight w:val="288"/>
        </w:trPr>
        <w:tc>
          <w:tcPr>
            <w:tcW w:w="4591" w:type="dxa"/>
            <w:noWrap/>
          </w:tcPr>
          <w:p w14:paraId="0286B060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04290827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52A7944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216077" w14:paraId="23064B2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EB84C8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3F5D702D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EA5359A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437F15D4" w14:textId="77777777" w:rsidR="00A1700F" w:rsidRDefault="00A1700F" w:rsidP="00A1700F"/>
    <w:p w14:paraId="66B87D3C" w14:textId="77777777" w:rsidR="003C0D8A" w:rsidRPr="003723FF" w:rsidRDefault="00C531CD" w:rsidP="00DD6527">
      <w:pPr>
        <w:pStyle w:val="Titolo2"/>
      </w:pPr>
      <w:bookmarkStart w:id="5" w:name="_Toc67837111"/>
      <w:r w:rsidRPr="003723FF">
        <w:lastRenderedPageBreak/>
        <w:t xml:space="preserve">Doveri </w:t>
      </w:r>
      <w:r w:rsidR="006F7329" w:rsidRPr="003723FF">
        <w:t>di comportamento</w:t>
      </w:r>
      <w:bookmarkEnd w:id="5"/>
      <w:r w:rsidR="00121F5F" w:rsidRPr="003723FF">
        <w:rPr>
          <w:color w:val="FF0000"/>
        </w:rPr>
        <w:t xml:space="preserve"> </w:t>
      </w:r>
    </w:p>
    <w:p w14:paraId="4EA9541E" w14:textId="77777777" w:rsidR="00B50D70" w:rsidRDefault="00B50D70" w:rsidP="00B50D70"/>
    <w:p w14:paraId="0947EBF0" w14:textId="79588D6F" w:rsidR="00C948F1" w:rsidRDefault="00997BF2" w:rsidP="0001458D">
      <w:pPr>
        <w:jc w:val="both"/>
      </w:pPr>
      <w:r>
        <w:t xml:space="preserve">Le misure atte a disciplinare e a sanzionare i comportamenti rilevanti ai fini della prevenzione della corruzione ai sensi della Legge n. 190/2012 sono state previste come integrazione del codice etico già adottato ai sensi del d.lgs. 231/2001 e sono state adottare </w:t>
      </w:r>
      <w:r w:rsidR="00FC43BA">
        <w:t xml:space="preserve">inizialmente </w:t>
      </w:r>
      <w:r>
        <w:t>nel</w:t>
      </w:r>
      <w:r w:rsidR="00AF7021">
        <w:t xml:space="preserve"> </w:t>
      </w:r>
      <w:r>
        <w:t>2015</w:t>
      </w:r>
      <w:r w:rsidR="00FC43BA">
        <w:t xml:space="preserve"> e, successivamente, </w:t>
      </w:r>
      <w:r>
        <w:t xml:space="preserve">aggiornate </w:t>
      </w:r>
      <w:r w:rsidR="00FC43BA">
        <w:t>nel 202</w:t>
      </w:r>
      <w:r w:rsidR="003723FF">
        <w:t>2</w:t>
      </w:r>
      <w:r>
        <w:t>.</w:t>
      </w:r>
    </w:p>
    <w:p w14:paraId="59F00A60" w14:textId="27331F05" w:rsidR="00C948F1" w:rsidRDefault="00997BF2" w:rsidP="00C948F1">
      <w:pPr>
        <w:jc w:val="both"/>
      </w:pPr>
      <w:r>
        <w:br/>
        <w:t>Tutti gli atti di incarico e i relativi contratti, sono stati adeguati alle previsioni del Codice di Comportamento adottato.</w:t>
      </w:r>
    </w:p>
    <w:p w14:paraId="7326AFB5" w14:textId="754AD523" w:rsidR="00C948F1" w:rsidRDefault="00997BF2" w:rsidP="00C948F1">
      <w:pPr>
        <w:jc w:val="both"/>
      </w:pPr>
      <w:r>
        <w:br/>
        <w:t>Sono state adottat</w:t>
      </w:r>
      <w:r w:rsidR="00AF7021">
        <w:t>i</w:t>
      </w:r>
      <w:r>
        <w:t xml:space="preserve"> </w:t>
      </w:r>
      <w:r w:rsidR="00AF7021">
        <w:t xml:space="preserve">maggiori controlli da parte del RPCT </w:t>
      </w:r>
      <w:r>
        <w:t>che garantiscono l'attuazione delle misure</w:t>
      </w:r>
      <w:r w:rsidR="00C948F1">
        <w:t xml:space="preserve"> </w:t>
      </w:r>
      <w:r>
        <w:t>comportamentali</w:t>
      </w:r>
      <w:r w:rsidR="00AF7021">
        <w:t>.</w:t>
      </w:r>
    </w:p>
    <w:p w14:paraId="636D6853" w14:textId="77777777" w:rsidR="00C948F1" w:rsidRDefault="00997BF2" w:rsidP="00C948F1">
      <w:pPr>
        <w:jc w:val="both"/>
      </w:pPr>
      <w:r>
        <w:br/>
        <w:t>È stata prevista una apposita procedura di rilevazione delle situazioni di conflitto di interessi potenziale o reale in particolare sono state effettuate le seguenti attività:</w:t>
      </w:r>
    </w:p>
    <w:p w14:paraId="17438831" w14:textId="52DF91FB" w:rsidR="00C948F1" w:rsidRDefault="00997BF2" w:rsidP="00C948F1">
      <w:pPr>
        <w:jc w:val="both"/>
      </w:pPr>
      <w:r>
        <w:br/>
        <w:t xml:space="preserve">  - acquisizione e conservazione delle dichiarazioni di insussistenza di situazioni di conflitto di interessi da parte dei dipendenti al momento dell’assegnazione all’ufficio o della nomina a RUP</w:t>
      </w:r>
      <w:r w:rsidR="00AF7021">
        <w:t>;</w:t>
      </w:r>
    </w:p>
    <w:p w14:paraId="05381C65" w14:textId="6F8D401F" w:rsidR="00C948F1" w:rsidRDefault="00997BF2" w:rsidP="00C948F1">
      <w:pPr>
        <w:jc w:val="both"/>
      </w:pPr>
      <w:r>
        <w:br/>
        <w:t xml:space="preserve">  - monitoraggio delle situazioni di conflitto di interessi, attraverso la richiesta ai dipendenti di aggiornare con cadenza periodica le dichiarazioni</w:t>
      </w:r>
      <w:r w:rsidR="00AF7021">
        <w:t>;</w:t>
      </w:r>
    </w:p>
    <w:p w14:paraId="01ADA647" w14:textId="18E1D056" w:rsidR="00C948F1" w:rsidRDefault="00997BF2" w:rsidP="00C948F1">
      <w:pPr>
        <w:jc w:val="both"/>
      </w:pP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 w:rsidR="00AF7021">
        <w:t>;</w:t>
      </w:r>
    </w:p>
    <w:p w14:paraId="479DA289" w14:textId="2A023C73" w:rsidR="00C948F1" w:rsidRDefault="00997BF2" w:rsidP="00C948F1">
      <w:pPr>
        <w:jc w:val="both"/>
      </w:pPr>
      <w:r>
        <w:br/>
        <w:t xml:space="preserve">  - predisposizione di appositi moduli per agevolare la tempestiva presentazione della dichiarazione sulla sussistenza di situazioni di conflitto di interessi</w:t>
      </w:r>
      <w:r w:rsidR="00AF7021">
        <w:t>;</w:t>
      </w:r>
    </w:p>
    <w:p w14:paraId="510CDD43" w14:textId="32D5CD03" w:rsidR="00997BF2" w:rsidRDefault="00997BF2" w:rsidP="00C948F1">
      <w:pPr>
        <w:jc w:val="both"/>
      </w:pPr>
      <w:r>
        <w:br/>
        <w:t xml:space="preserve">  - attività di sensibilizzazione del personale al rispetto di quanto previsto in materia dalla l. n. 241/1990 e dalle misure di comportamento</w:t>
      </w:r>
      <w:r w:rsidR="00AF7021">
        <w:t>.</w:t>
      </w:r>
    </w:p>
    <w:p w14:paraId="5DD54B80" w14:textId="62B0B837" w:rsidR="00BE39BE" w:rsidRDefault="00BE39BE" w:rsidP="00A82AEF"/>
    <w:p w14:paraId="3097FD02" w14:textId="77777777" w:rsidR="00AF7021" w:rsidRDefault="00AF7021" w:rsidP="00A82AEF"/>
    <w:p w14:paraId="5ABE64B6" w14:textId="77777777" w:rsidR="00BE39BE" w:rsidRPr="00B50D70" w:rsidRDefault="00BE39BE" w:rsidP="00DD6527">
      <w:pPr>
        <w:pStyle w:val="Titolo2"/>
      </w:pPr>
      <w:bookmarkStart w:id="6" w:name="_Toc67837112"/>
      <w:r>
        <w:t>Rotazione del personale</w:t>
      </w:r>
      <w:bookmarkEnd w:id="6"/>
      <w:r w:rsidRPr="00995656">
        <w:t xml:space="preserve"> </w:t>
      </w:r>
    </w:p>
    <w:p w14:paraId="552A7395" w14:textId="77777777" w:rsidR="0097533D" w:rsidRDefault="0097533D" w:rsidP="002A0EC3"/>
    <w:p w14:paraId="58A0F052" w14:textId="77777777" w:rsidR="00380B17" w:rsidRDefault="00380B17" w:rsidP="00380B17">
      <w:pPr>
        <w:pStyle w:val="Titolo3"/>
      </w:pPr>
      <w:bookmarkStart w:id="7" w:name="_Toc67837113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313067C9" w14:textId="77777777" w:rsidR="00997BF2" w:rsidRDefault="00997BF2" w:rsidP="00050F7D"/>
    <w:p w14:paraId="0CA057E0" w14:textId="7FE3547A" w:rsidR="00997BF2" w:rsidRDefault="00997BF2" w:rsidP="00512D29">
      <w:pPr>
        <w:jc w:val="both"/>
      </w:pPr>
      <w:r>
        <w:t>La misura “Rotazione Ordinaria del Personale”, pur essendo stata programmata nel documento unitario che tiene luogo del PTPCT o nella sezione apposita del M.O.G. di riferimento, non è stata ancora realizzata</w:t>
      </w:r>
      <w:r w:rsidR="0094614B">
        <w:t xml:space="preserve"> per quanto concerne il personale amministrativo</w:t>
      </w:r>
      <w:r>
        <w:t>, in particolare</w:t>
      </w:r>
      <w:r w:rsidR="00512D29">
        <w:t xml:space="preserve"> </w:t>
      </w:r>
      <w:r>
        <w:t>non sono state ancora avviate le attività per sua adozione della misura, ma saranno avviate nei tempi previsti</w:t>
      </w:r>
      <w:r w:rsidR="006601A0">
        <w:t xml:space="preserve"> in caso di necessità</w:t>
      </w:r>
      <w:r w:rsidR="00512D29">
        <w:t>.</w:t>
      </w:r>
    </w:p>
    <w:p w14:paraId="7E57EC49" w14:textId="4208A46D" w:rsidR="00997BF2" w:rsidRDefault="0094614B" w:rsidP="0094614B">
      <w:pPr>
        <w:jc w:val="both"/>
      </w:pPr>
      <w:r>
        <w:t>Per quanto riguarda, invece, il personale operativo dell’igiene ambientale la rotazione ordinaria viene svolta regolarmente a cura del Responsabile di Funzione.</w:t>
      </w:r>
      <w:r w:rsidR="00997BF2">
        <w:br/>
        <w:t>Nell'anno di riferimento delle misure di prevenzione della corruzione in esame, la società è stata interessata da un processo di riorganizzazione.</w:t>
      </w:r>
    </w:p>
    <w:p w14:paraId="0E10AA67" w14:textId="77777777" w:rsidR="00C74F37" w:rsidRDefault="00C74F37" w:rsidP="00050F7D"/>
    <w:p w14:paraId="3065EAE4" w14:textId="77777777" w:rsidR="00C74F37" w:rsidRDefault="00C74F37" w:rsidP="00380B17">
      <w:pPr>
        <w:pStyle w:val="Titolo3"/>
      </w:pPr>
      <w:bookmarkStart w:id="8" w:name="_Toc67837114"/>
      <w:r w:rsidRPr="00380B17">
        <w:lastRenderedPageBreak/>
        <w:t>Rotazione</w:t>
      </w:r>
      <w:r>
        <w:t xml:space="preserve"> straordinaria</w:t>
      </w:r>
      <w:bookmarkEnd w:id="8"/>
    </w:p>
    <w:p w14:paraId="50F0EC84" w14:textId="77777777" w:rsidR="00997BF2" w:rsidRDefault="00997BF2" w:rsidP="00512D29">
      <w:pPr>
        <w:jc w:val="both"/>
      </w:pPr>
      <w:r>
        <w:br/>
        <w:t>Nell'anno di riferimento delle misure di prevenzione della corruzione in esame, la Rotazione Straordinaria non si è resa necessaria per assenza di procedimenti penali o disciplinari.</w:t>
      </w:r>
    </w:p>
    <w:p w14:paraId="45AE6CED" w14:textId="77777777" w:rsidR="00C74F37" w:rsidRDefault="00C74F37" w:rsidP="00050F7D"/>
    <w:p w14:paraId="4F95AC4B" w14:textId="77777777" w:rsidR="00C74F37" w:rsidRDefault="00C74F37" w:rsidP="00380B17">
      <w:pPr>
        <w:pStyle w:val="Titolo3"/>
      </w:pPr>
      <w:bookmarkStart w:id="9" w:name="_Toc67837115"/>
      <w:r>
        <w:t>Trasferimento d’ufficio</w:t>
      </w:r>
      <w:bookmarkEnd w:id="9"/>
    </w:p>
    <w:p w14:paraId="3BFF9E2D" w14:textId="77777777" w:rsidR="00997BF2" w:rsidRDefault="00997BF2" w:rsidP="00512D29">
      <w:pPr>
        <w:jc w:val="both"/>
      </w:pP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0D357EF8" w14:textId="6D99FB26" w:rsidR="00BE39BE" w:rsidRDefault="00BE39BE" w:rsidP="00A82AEF"/>
    <w:p w14:paraId="4744D35F" w14:textId="77777777" w:rsidR="00AF7021" w:rsidRDefault="00AF7021" w:rsidP="00A82AEF"/>
    <w:p w14:paraId="5854A90A" w14:textId="77777777" w:rsidR="00425435" w:rsidRPr="00B50D70" w:rsidRDefault="0076725D" w:rsidP="00DD6527">
      <w:pPr>
        <w:pStyle w:val="Titolo2"/>
      </w:pPr>
      <w:bookmarkStart w:id="10" w:name="_Toc67837116"/>
      <w:r>
        <w:t>Misure in materia di conflitto di interessi</w:t>
      </w:r>
      <w:bookmarkEnd w:id="10"/>
      <w:r w:rsidR="00425435" w:rsidRPr="00995656">
        <w:t xml:space="preserve"> </w:t>
      </w:r>
    </w:p>
    <w:p w14:paraId="42E5C045" w14:textId="77777777" w:rsidR="0069341C" w:rsidRDefault="0069341C" w:rsidP="0083587B"/>
    <w:p w14:paraId="030DF687" w14:textId="5AC52B29" w:rsidR="0069341C" w:rsidRDefault="0069341C" w:rsidP="00C079A9">
      <w:pPr>
        <w:jc w:val="both"/>
      </w:pPr>
      <w:r>
        <w:t xml:space="preserve">Le misure in materia di </w:t>
      </w:r>
      <w:proofErr w:type="spellStart"/>
      <w:r>
        <w:t>inconferibilità</w:t>
      </w:r>
      <w:proofErr w:type="spellEnd"/>
      <w:r>
        <w:t xml:space="preserve"> e incompatibilità degli incarichi, pur essendo state programmate nel documento unitario che tiene luogo del PTPCT o nella sezione apposita del M.O.G. di riferimento, non sono state ancora attuate, in particolare</w:t>
      </w:r>
      <w:r w:rsidR="006601A0">
        <w:t xml:space="preserve"> n</w:t>
      </w:r>
      <w:r>
        <w:t>on sono state ancora avviate le attività per la loro adozione, ma saranno avviate nei tempi previsti</w:t>
      </w:r>
      <w:r w:rsidR="006601A0">
        <w:t xml:space="preserve"> in caso di necessità.</w:t>
      </w:r>
    </w:p>
    <w:p w14:paraId="303BC658" w14:textId="2B91B7EB" w:rsidR="00874237" w:rsidRDefault="00874237" w:rsidP="002A40F1">
      <w:pPr>
        <w:pBdr>
          <w:bottom w:val="single" w:sz="4" w:space="1" w:color="auto"/>
        </w:pBdr>
        <w:rPr>
          <w:iCs/>
        </w:rPr>
      </w:pPr>
    </w:p>
    <w:p w14:paraId="104986D2" w14:textId="77777777" w:rsidR="006601A0" w:rsidRPr="00D355A4" w:rsidRDefault="006601A0" w:rsidP="002A40F1">
      <w:pPr>
        <w:pBdr>
          <w:bottom w:val="single" w:sz="4" w:space="1" w:color="auto"/>
        </w:pBdr>
        <w:rPr>
          <w:iCs/>
        </w:rPr>
      </w:pPr>
    </w:p>
    <w:p w14:paraId="0034E514" w14:textId="77777777" w:rsidR="002A40F1" w:rsidRPr="00B50D70" w:rsidRDefault="002A40F1" w:rsidP="00DD6527">
      <w:pPr>
        <w:pStyle w:val="Titolo2"/>
      </w:pPr>
      <w:bookmarkStart w:id="11" w:name="_Toc67837117"/>
      <w:r>
        <w:t>Whistleblowing</w:t>
      </w:r>
      <w:bookmarkEnd w:id="11"/>
      <w:r w:rsidRPr="00995656">
        <w:t xml:space="preserve"> </w:t>
      </w:r>
    </w:p>
    <w:p w14:paraId="0844F235" w14:textId="77777777" w:rsidR="000076D6" w:rsidRDefault="000076D6" w:rsidP="00D352E2"/>
    <w:p w14:paraId="33A95B4E" w14:textId="77777777" w:rsidR="00C079A9" w:rsidRDefault="000076D6" w:rsidP="00C079A9">
      <w:pPr>
        <w:jc w:val="both"/>
      </w:pPr>
      <w:r>
        <w:t>Nell'anno di riferimento delle misure di prevenzione della corruzione in esame, sono stati adottati gli interventi idonei a garantire l’adozione della misura “Whistleblowing”, in particolare le segnalazioni possono essere inoltrate tramite:</w:t>
      </w:r>
    </w:p>
    <w:p w14:paraId="580C88BC" w14:textId="333832D7" w:rsidR="000076D6" w:rsidRDefault="000076D6" w:rsidP="00C079A9">
      <w:pPr>
        <w:jc w:val="both"/>
      </w:pPr>
      <w:r>
        <w:br/>
        <w:t xml:space="preserve">  - Sistema informativo dedicato con garanzia della riservatezza dell'identità del segnalante</w:t>
      </w:r>
      <w:r w:rsidR="00127F54">
        <w:t xml:space="preserve"> con </w:t>
      </w:r>
      <w:r w:rsidR="00127F54" w:rsidRPr="00127F54">
        <w:t xml:space="preserve">accesso all’applicativo dedicato presente sul sito istituzionale </w:t>
      </w:r>
      <w:hyperlink r:id="rId8" w:history="1">
        <w:r w:rsidR="00127F54" w:rsidRPr="00EC4C0A">
          <w:rPr>
            <w:rStyle w:val="Collegamentoipertestuale"/>
          </w:rPr>
          <w:t>www.asmmagenta.it</w:t>
        </w:r>
      </w:hyperlink>
      <w:r w:rsidR="00127F54">
        <w:t xml:space="preserve"> </w:t>
      </w:r>
      <w:r w:rsidR="00127F54" w:rsidRPr="00127F54">
        <w:t>. È proibita qualunque forma di ritorsione nei confronti dei soggetti segnalanti.</w:t>
      </w:r>
    </w:p>
    <w:p w14:paraId="111D8481" w14:textId="0958496C" w:rsidR="00C079A9" w:rsidRDefault="000076D6" w:rsidP="00C079A9">
      <w:pPr>
        <w:jc w:val="both"/>
      </w:pPr>
      <w:r>
        <w:br/>
        <w:t>Possono effettuare le segnalazioni</w:t>
      </w:r>
      <w:r w:rsidR="00127F54">
        <w:t>,</w:t>
      </w:r>
      <w:r>
        <w:t xml:space="preserve"> </w:t>
      </w:r>
      <w:r w:rsidR="00127F54">
        <w:t>o</w:t>
      </w:r>
      <w:r>
        <w:t>ltr</w:t>
      </w:r>
      <w:r w:rsidR="00127F54">
        <w:t>e</w:t>
      </w:r>
      <w:r>
        <w:t xml:space="preserve"> a</w:t>
      </w:r>
      <w:r w:rsidR="00127F54">
        <w:t>i</w:t>
      </w:r>
      <w:r>
        <w:t xml:space="preserve"> dipendenti pubblici</w:t>
      </w:r>
      <w:r w:rsidR="00127F54">
        <w:t>,</w:t>
      </w:r>
      <w:r>
        <w:t xml:space="preserve"> ad esempio:</w:t>
      </w:r>
    </w:p>
    <w:p w14:paraId="73E68653" w14:textId="2507002C" w:rsidR="000076D6" w:rsidRDefault="000076D6" w:rsidP="00C079A9">
      <w:pPr>
        <w:jc w:val="both"/>
      </w:pPr>
      <w:r>
        <w:t>-consulenti</w:t>
      </w:r>
      <w:r>
        <w:br/>
        <w:t>-collaboratori</w:t>
      </w:r>
      <w:r>
        <w:br/>
        <w:t>-chiunque venga a conoscenza di fenomeni corruttivi</w:t>
      </w:r>
      <w:r w:rsidR="00486D21">
        <w:t>.</w:t>
      </w:r>
    </w:p>
    <w:p w14:paraId="189E6743" w14:textId="0FEC2F90" w:rsidR="00486D21" w:rsidRDefault="00486D21" w:rsidP="00C079A9">
      <w:pPr>
        <w:jc w:val="both"/>
      </w:pPr>
    </w:p>
    <w:p w14:paraId="72E95FF5" w14:textId="4D1B8B66" w:rsidR="00486D21" w:rsidRDefault="00486D21" w:rsidP="00C079A9">
      <w:pPr>
        <w:jc w:val="both"/>
      </w:pPr>
      <w:r>
        <w:t xml:space="preserve">A dicembre 2021 è stato pubblicato sul sito di ASM srl la </w:t>
      </w:r>
      <w:r w:rsidRPr="00486D21">
        <w:t>WHISTLEBLOWING POLICY</w:t>
      </w:r>
      <w:r>
        <w:t xml:space="preserve"> in recepimento della Delibera ANAC n. 469 del 09/06/2021.</w:t>
      </w:r>
    </w:p>
    <w:p w14:paraId="653B96EC" w14:textId="1B0564F1" w:rsidR="00F96FBD" w:rsidRDefault="00F96FBD" w:rsidP="00F96FBD">
      <w:pPr>
        <w:pBdr>
          <w:bottom w:val="single" w:sz="4" w:space="1" w:color="auto"/>
        </w:pBdr>
        <w:rPr>
          <w:iCs/>
        </w:rPr>
      </w:pPr>
    </w:p>
    <w:p w14:paraId="38FE2793" w14:textId="77777777" w:rsidR="00127F54" w:rsidRPr="00C7442D" w:rsidRDefault="00127F54" w:rsidP="00F96FBD">
      <w:pPr>
        <w:pBdr>
          <w:bottom w:val="single" w:sz="4" w:space="1" w:color="auto"/>
        </w:pBdr>
        <w:rPr>
          <w:iCs/>
        </w:rPr>
      </w:pPr>
    </w:p>
    <w:p w14:paraId="3A19D9FD" w14:textId="77777777" w:rsidR="001F3A1E" w:rsidRPr="00B50D70" w:rsidRDefault="001F3A1E" w:rsidP="001F3A1E">
      <w:pPr>
        <w:pStyle w:val="Titolo2"/>
      </w:pPr>
      <w:bookmarkStart w:id="12" w:name="_Toc19022237"/>
      <w:bookmarkStart w:id="13" w:name="_Toc67837118"/>
      <w:r>
        <w:t>Formazione</w:t>
      </w:r>
      <w:bookmarkEnd w:id="12"/>
      <w:bookmarkEnd w:id="13"/>
      <w:r w:rsidRPr="00995656">
        <w:t xml:space="preserve"> </w:t>
      </w:r>
    </w:p>
    <w:p w14:paraId="0CCC9B3A" w14:textId="77777777" w:rsidR="001F3A1E" w:rsidRPr="00C7442D" w:rsidRDefault="001F3A1E" w:rsidP="001F3A1E"/>
    <w:p w14:paraId="206BAB28" w14:textId="77777777" w:rsidR="00945379" w:rsidRDefault="00945379" w:rsidP="00210392">
      <w:pPr>
        <w:jc w:val="both"/>
      </w:pPr>
      <w:r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 w14:paraId="5D91E204" w14:textId="77777777" w:rsidR="00945379" w:rsidRDefault="00945379" w:rsidP="00D352E2">
      <w:r>
        <w:br/>
        <w:t>La formazione tecnica/specialistica è stata erogata a:</w:t>
      </w:r>
      <w:r>
        <w:br/>
        <w:t xml:space="preserve">  - RPCT per un numero medio di ore pari a 8</w:t>
      </w:r>
      <w:r>
        <w:br/>
      </w:r>
      <w:r>
        <w:lastRenderedPageBreak/>
        <w:t xml:space="preserve">  - Staff del RPCT per un numero medio di ore pari a 8</w:t>
      </w:r>
      <w:r>
        <w:br/>
        <w:t xml:space="preserve">  - Referenti per un numero medio di ore pari a 8</w:t>
      </w:r>
      <w:r>
        <w:br/>
        <w:t xml:space="preserve">  - Dirigenti per un numero medio di ore pari a 8</w:t>
      </w:r>
      <w:r>
        <w:br/>
        <w:t xml:space="preserve">  - Funzionari per un numero medio di ore pari a 8</w:t>
      </w:r>
      <w:r>
        <w:br/>
        <w:t xml:space="preserve">  - Altre figure per un numero medio di ore pari a 8</w:t>
      </w:r>
    </w:p>
    <w:p w14:paraId="62506501" w14:textId="77777777" w:rsidR="00210392" w:rsidRDefault="00945379" w:rsidP="00210392">
      <w:pPr>
        <w:jc w:val="both"/>
      </w:pPr>
      <w:r>
        <w:br/>
        <w:t>Per ogni corso di formazione erogato, sono stati somministrati ai partecipanti presenti questionari finalizzati a misurare il loro livello di apprendimento e gradimento.</w:t>
      </w:r>
    </w:p>
    <w:p w14:paraId="40988E0B" w14:textId="44BCFB35" w:rsidR="00945379" w:rsidRDefault="00945379" w:rsidP="00210392">
      <w:pPr>
        <w:jc w:val="both"/>
      </w:pPr>
      <w:r>
        <w:t>Inoltre</w:t>
      </w:r>
      <w:r w:rsidR="00210392">
        <w:t>,</w:t>
      </w:r>
      <w:r>
        <w:t xml:space="preserve"> i corsi di formazione successivi sono stati programmati in funzione dei feedback ottenuti.</w:t>
      </w:r>
    </w:p>
    <w:p w14:paraId="378E06A0" w14:textId="17D219F4" w:rsidR="00945379" w:rsidRDefault="00945379" w:rsidP="00D352E2">
      <w:r>
        <w:br/>
        <w:t xml:space="preserve">La formazione è stata affidata a soggetti esterni in </w:t>
      </w:r>
      <w:r w:rsidR="00E35AB9">
        <w:t>particolare all’</w:t>
      </w:r>
      <w:r>
        <w:t>ODV</w:t>
      </w:r>
      <w:r w:rsidR="00E35AB9">
        <w:t>.</w:t>
      </w:r>
    </w:p>
    <w:p w14:paraId="6156B817" w14:textId="723A58E4" w:rsidR="00F96FBD" w:rsidRDefault="00F96FBD" w:rsidP="00F96FBD">
      <w:pPr>
        <w:pBdr>
          <w:bottom w:val="single" w:sz="4" w:space="1" w:color="auto"/>
        </w:pBdr>
        <w:rPr>
          <w:iCs/>
        </w:rPr>
      </w:pPr>
    </w:p>
    <w:p w14:paraId="437105F5" w14:textId="77777777" w:rsidR="00E35AB9" w:rsidRPr="00056B5D" w:rsidRDefault="00E35AB9" w:rsidP="00F96FBD">
      <w:pPr>
        <w:pBdr>
          <w:bottom w:val="single" w:sz="4" w:space="1" w:color="auto"/>
        </w:pBdr>
        <w:rPr>
          <w:iCs/>
          <w:sz w:val="18"/>
          <w:szCs w:val="18"/>
        </w:rPr>
      </w:pPr>
    </w:p>
    <w:p w14:paraId="56E13F9E" w14:textId="77777777" w:rsidR="00FF5F58" w:rsidRPr="00FF5F58" w:rsidRDefault="00FF5F58" w:rsidP="00DD6527">
      <w:pPr>
        <w:pStyle w:val="Titolo2"/>
      </w:pPr>
      <w:bookmarkStart w:id="14" w:name="_Toc67837119"/>
      <w:r>
        <w:t>Trasparenza</w:t>
      </w:r>
      <w:bookmarkEnd w:id="14"/>
    </w:p>
    <w:p w14:paraId="1A527481" w14:textId="77777777" w:rsidR="006D748D" w:rsidRDefault="006D748D" w:rsidP="00D352E2"/>
    <w:p w14:paraId="684C461D" w14:textId="19568187" w:rsidR="006D748D" w:rsidRDefault="006D748D" w:rsidP="00056B5D">
      <w:pPr>
        <w:jc w:val="both"/>
      </w:pPr>
      <w:r>
        <w:t>Nell'anno di riferimento delle misure di prevenzione della corruzione in esame, sono stati svolti monitoraggi sulla pubblicazione dei dati con periodicità mensile.</w:t>
      </w:r>
      <w:r w:rsidR="00056B5D">
        <w:t xml:space="preserve"> </w:t>
      </w:r>
      <w:r>
        <w:t>I monitoraggi non hanno evidenziato irregolarità nella pubblicazione dei dati.</w:t>
      </w:r>
    </w:p>
    <w:p w14:paraId="7CACE43A" w14:textId="77777777" w:rsidR="00056B5D" w:rsidRDefault="006D748D" w:rsidP="00056B5D">
      <w:pPr>
        <w:jc w:val="both"/>
      </w:pPr>
      <w:r>
        <w:br/>
        <w:t>La società ha</w:t>
      </w:r>
      <w:r w:rsidR="00056B5D">
        <w:t>, inoltre,</w:t>
      </w:r>
      <w:r>
        <w:t xml:space="preserve"> realizzato l'informatizzazione del flusso per alimentare la pubblicazione dei dati nella sezione “Società trasparente”.</w:t>
      </w:r>
    </w:p>
    <w:p w14:paraId="3B072E34" w14:textId="7889B84A" w:rsidR="002712B8" w:rsidRPr="002712B8" w:rsidRDefault="006D748D" w:rsidP="002712B8">
      <w:pPr>
        <w:jc w:val="both"/>
      </w:pPr>
      <w:r>
        <w:br/>
        <w:t xml:space="preserve">Il sito istituzionale, relativamente alla sezione “Società </w:t>
      </w:r>
      <w:r w:rsidR="00056B5D">
        <w:t>T</w:t>
      </w:r>
      <w:r>
        <w:t xml:space="preserve">rasparente”, traccia il numero delle visite, in particolare nell’anno di riferimento delle misure di prevenzione della corruzione in esame, </w:t>
      </w:r>
      <w:r w:rsidR="002712B8">
        <w:t>le p</w:t>
      </w:r>
      <w:r w:rsidR="002712B8" w:rsidRPr="002712B8">
        <w:t>agine più viste</w:t>
      </w:r>
      <w:r w:rsidR="002712B8">
        <w:t xml:space="preserve"> sono</w:t>
      </w:r>
      <w:r w:rsidR="002712B8" w:rsidRPr="002712B8">
        <w:t>:</w:t>
      </w:r>
    </w:p>
    <w:p w14:paraId="76802D4C" w14:textId="77777777" w:rsidR="002712B8" w:rsidRPr="002712B8" w:rsidRDefault="002712B8" w:rsidP="002712B8">
      <w:pPr>
        <w:numPr>
          <w:ilvl w:val="0"/>
          <w:numId w:val="48"/>
        </w:numPr>
        <w:jc w:val="both"/>
      </w:pPr>
      <w:r w:rsidRPr="002712B8">
        <w:t>Homepage</w:t>
      </w:r>
    </w:p>
    <w:p w14:paraId="2E56AEE0" w14:textId="77777777" w:rsidR="002712B8" w:rsidRPr="002712B8" w:rsidRDefault="002712B8" w:rsidP="002712B8">
      <w:pPr>
        <w:numPr>
          <w:ilvl w:val="0"/>
          <w:numId w:val="48"/>
        </w:numPr>
        <w:jc w:val="both"/>
      </w:pPr>
      <w:r w:rsidRPr="002712B8">
        <w:t>Reclutamento Personale</w:t>
      </w:r>
    </w:p>
    <w:p w14:paraId="4E7FA15D" w14:textId="77777777" w:rsidR="002712B8" w:rsidRPr="002712B8" w:rsidRDefault="002712B8" w:rsidP="002712B8">
      <w:pPr>
        <w:numPr>
          <w:ilvl w:val="0"/>
          <w:numId w:val="48"/>
        </w:numPr>
        <w:jc w:val="both"/>
      </w:pPr>
      <w:r w:rsidRPr="002712B8">
        <w:t>Bandi di Concorso</w:t>
      </w:r>
    </w:p>
    <w:p w14:paraId="115E4C66" w14:textId="77777777" w:rsidR="002712B8" w:rsidRPr="002712B8" w:rsidRDefault="002712B8" w:rsidP="002712B8">
      <w:pPr>
        <w:numPr>
          <w:ilvl w:val="0"/>
          <w:numId w:val="48"/>
        </w:numPr>
        <w:jc w:val="both"/>
      </w:pPr>
      <w:r w:rsidRPr="002712B8">
        <w:t>Selezione del Personale</w:t>
      </w:r>
    </w:p>
    <w:p w14:paraId="69A58FD6" w14:textId="77777777" w:rsidR="002712B8" w:rsidRPr="002712B8" w:rsidRDefault="002712B8" w:rsidP="002712B8">
      <w:pPr>
        <w:numPr>
          <w:ilvl w:val="0"/>
          <w:numId w:val="48"/>
        </w:numPr>
        <w:jc w:val="both"/>
      </w:pPr>
      <w:r w:rsidRPr="002712B8">
        <w:t>Bandi</w:t>
      </w:r>
    </w:p>
    <w:p w14:paraId="0F8BFA15" w14:textId="77777777" w:rsidR="002712B8" w:rsidRPr="002712B8" w:rsidRDefault="002712B8" w:rsidP="002712B8">
      <w:pPr>
        <w:numPr>
          <w:ilvl w:val="0"/>
          <w:numId w:val="48"/>
        </w:numPr>
        <w:jc w:val="both"/>
      </w:pPr>
      <w:r w:rsidRPr="002712B8">
        <w:t>Igiene Ambientale</w:t>
      </w:r>
    </w:p>
    <w:p w14:paraId="7BFFDB64" w14:textId="77777777" w:rsidR="002712B8" w:rsidRDefault="002712B8" w:rsidP="00843A21">
      <w:pPr>
        <w:numPr>
          <w:ilvl w:val="0"/>
          <w:numId w:val="48"/>
        </w:numPr>
        <w:jc w:val="both"/>
      </w:pPr>
      <w:r w:rsidRPr="002712B8">
        <w:t>Comunicazioni</w:t>
      </w:r>
    </w:p>
    <w:p w14:paraId="5251436A" w14:textId="1EC4B927" w:rsidR="00056B5D" w:rsidRDefault="002712B8" w:rsidP="00843A21">
      <w:pPr>
        <w:numPr>
          <w:ilvl w:val="0"/>
          <w:numId w:val="48"/>
        </w:numPr>
        <w:jc w:val="both"/>
      </w:pPr>
      <w:r w:rsidRPr="002712B8">
        <w:t>Parcheggio a pagamento Magenta</w:t>
      </w:r>
      <w:r w:rsidR="006D748D" w:rsidRPr="00711900">
        <w:t>.</w:t>
      </w:r>
    </w:p>
    <w:p w14:paraId="580D15C6" w14:textId="1B515D7D" w:rsidR="00056B5D" w:rsidRDefault="006D748D" w:rsidP="007B5212">
      <w:pPr>
        <w:jc w:val="both"/>
      </w:pPr>
      <w:r>
        <w:br/>
      </w:r>
      <w:proofErr w:type="gramStart"/>
      <w:r w:rsidR="007B5212">
        <w:t>E’</w:t>
      </w:r>
      <w:proofErr w:type="gramEnd"/>
      <w:r>
        <w:t xml:space="preserve"> stat</w:t>
      </w:r>
      <w:r w:rsidR="007B5212">
        <w:t>o</w:t>
      </w:r>
      <w:r>
        <w:t xml:space="preserve"> adottat</w:t>
      </w:r>
      <w:r w:rsidR="007B5212">
        <w:t>o</w:t>
      </w:r>
      <w:r>
        <w:t xml:space="preserve"> e pubblicat</w:t>
      </w:r>
      <w:r w:rsidR="007B5212">
        <w:t>o</w:t>
      </w:r>
      <w:r>
        <w:t xml:space="preserve"> sul sito istituzionale</w:t>
      </w:r>
      <w:r w:rsidR="007B5212">
        <w:t xml:space="preserve"> di ASM srl il REGOLAMENTO SUL DIRITTO DI</w:t>
      </w:r>
      <w:r w:rsidR="003E56AA">
        <w:t xml:space="preserve"> </w:t>
      </w:r>
      <w:r w:rsidR="007B5212">
        <w:t>ACCESSO DOCUMENTALE, ACCESSO CIVICO SEMPLICE E ACCESSO CIVICO GENERALIZZATO</w:t>
      </w:r>
      <w:r>
        <w:t>.</w:t>
      </w:r>
    </w:p>
    <w:p w14:paraId="3FB0DEC6" w14:textId="76AF9C52" w:rsidR="00056B5D" w:rsidRDefault="006D748D" w:rsidP="00056B5D">
      <w:pPr>
        <w:jc w:val="both"/>
      </w:pPr>
      <w:r>
        <w:t>Sono stati inoltre pubblicati:</w:t>
      </w:r>
    </w:p>
    <w:p w14:paraId="47186E7D" w14:textId="05655BEC" w:rsidR="007B5212" w:rsidRDefault="006D748D" w:rsidP="00056B5D">
      <w:r>
        <w:t xml:space="preserve">- </w:t>
      </w:r>
      <w:r w:rsidR="007B5212">
        <w:t>Nominativo Responsabili e relativi indirizzi mail;</w:t>
      </w:r>
      <w:r>
        <w:br/>
        <w:t>- la modulistica</w:t>
      </w:r>
    </w:p>
    <w:p w14:paraId="20F2C91F" w14:textId="727E94C2" w:rsidR="004E699E" w:rsidRDefault="007B5212" w:rsidP="003E56AA">
      <w:r>
        <w:t>- Registro degli accessi</w:t>
      </w:r>
      <w:r w:rsidR="006D748D">
        <w:br/>
      </w:r>
      <w:r w:rsidR="006D748D">
        <w:br/>
        <w:t>Nell’anno di riferimento delle misure di prevenzione della corruzione in esame non sono</w:t>
      </w:r>
      <w:r w:rsidR="00056B5D">
        <w:t xml:space="preserve"> </w:t>
      </w:r>
      <w:r w:rsidR="0011675C">
        <w:t>p</w:t>
      </w:r>
      <w:r w:rsidR="006D748D">
        <w:t>ervenute richieste di accesso civico "semplice".</w:t>
      </w:r>
      <w:r w:rsidR="006D748D">
        <w:br/>
      </w:r>
      <w:r w:rsidR="006D748D">
        <w:br/>
        <w:t xml:space="preserve">Nell’anno di riferimento delle misure di prevenzione della corruzione in esame sono pervenute </w:t>
      </w:r>
      <w:proofErr w:type="gramStart"/>
      <w:r w:rsidR="003E56AA">
        <w:t>7</w:t>
      </w:r>
      <w:proofErr w:type="gramEnd"/>
      <w:r w:rsidR="006D748D">
        <w:t xml:space="preserve"> richieste di accesso civico “generalizzato” che sono state evase con il seguente esito:</w:t>
      </w:r>
    </w:p>
    <w:p w14:paraId="37813536" w14:textId="2897FC29" w:rsidR="004E699E" w:rsidRDefault="00056B5D" w:rsidP="00056B5D">
      <w:pPr>
        <w:jc w:val="both"/>
      </w:pPr>
      <w:r>
        <w:t xml:space="preserve">- </w:t>
      </w:r>
      <w:r w:rsidR="0011675C">
        <w:t>6</w:t>
      </w:r>
      <w:r w:rsidR="006D748D">
        <w:t xml:space="preserve"> richieste con “informazione fornita all'utente”</w:t>
      </w:r>
    </w:p>
    <w:p w14:paraId="5BCF1B2A" w14:textId="3FE15DC8" w:rsidR="004E699E" w:rsidRDefault="00056B5D" w:rsidP="00056B5D">
      <w:pPr>
        <w:jc w:val="both"/>
      </w:pPr>
      <w:r>
        <w:t xml:space="preserve">- </w:t>
      </w:r>
      <w:r w:rsidR="003E56AA">
        <w:t>1</w:t>
      </w:r>
      <w:r w:rsidR="006D748D">
        <w:t xml:space="preserve"> richieste con “informazione </w:t>
      </w:r>
      <w:r w:rsidR="003E56AA">
        <w:t xml:space="preserve">parzialmente </w:t>
      </w:r>
      <w:r w:rsidR="006D748D">
        <w:t>fornita all'utente”</w:t>
      </w:r>
    </w:p>
    <w:p w14:paraId="68A9A9C6" w14:textId="22DAE30D" w:rsidR="004E699E" w:rsidRDefault="006D748D" w:rsidP="00056B5D">
      <w:pPr>
        <w:jc w:val="both"/>
      </w:pPr>
      <w:r>
        <w:lastRenderedPageBreak/>
        <w:t xml:space="preserve">Nell’anno di riferimento delle misure di prevenzione della corruzione in esame, sono pervenute </w:t>
      </w:r>
      <w:proofErr w:type="gramStart"/>
      <w:r w:rsidR="0011675C">
        <w:t>2</w:t>
      </w:r>
      <w:proofErr w:type="gramEnd"/>
      <w:r>
        <w:t xml:space="preserve"> richieste di accesso </w:t>
      </w:r>
      <w:r w:rsidR="0011675C">
        <w:t>“</w:t>
      </w:r>
      <w:r>
        <w:t>documentale</w:t>
      </w:r>
      <w:r w:rsidR="0011675C">
        <w:t>”</w:t>
      </w:r>
      <w:r>
        <w:t xml:space="preserve"> che sono state evase con il seguente esito:</w:t>
      </w:r>
    </w:p>
    <w:p w14:paraId="51C0E171" w14:textId="43AB6F55" w:rsidR="004E699E" w:rsidRDefault="004E699E" w:rsidP="00056B5D">
      <w:pPr>
        <w:jc w:val="both"/>
      </w:pPr>
      <w:r>
        <w:t>-</w:t>
      </w:r>
      <w:r w:rsidR="006D748D">
        <w:t xml:space="preserve"> </w:t>
      </w:r>
      <w:r w:rsidR="003E56AA">
        <w:t>2</w:t>
      </w:r>
      <w:r w:rsidR="006D748D">
        <w:t xml:space="preserve"> richieste con “informazione </w:t>
      </w:r>
      <w:r w:rsidR="0011675C">
        <w:t xml:space="preserve">NON </w:t>
      </w:r>
      <w:r w:rsidR="006D748D">
        <w:t>fornita all'utente”</w:t>
      </w:r>
    </w:p>
    <w:p w14:paraId="512AAACA" w14:textId="6AC2AA64" w:rsidR="006D748D" w:rsidRDefault="006D748D" w:rsidP="00056B5D">
      <w:pPr>
        <w:jc w:val="both"/>
      </w:pPr>
      <w:r>
        <w:br/>
        <w:t>È stata</w:t>
      </w:r>
      <w:r w:rsidR="00056B5D">
        <w:t>, inoltre,</w:t>
      </w:r>
      <w:r>
        <w:t xml:space="preserve">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ed è stata rispettata l'indicazione che prevede di riportare nel registro l'esito delle istanze</w:t>
      </w:r>
      <w:r w:rsidR="004E699E">
        <w:t>.</w:t>
      </w:r>
    </w:p>
    <w:p w14:paraId="708ED70C" w14:textId="490FA175" w:rsidR="00D866D2" w:rsidRDefault="00D866D2" w:rsidP="00A82AEF"/>
    <w:p w14:paraId="32DCE9A9" w14:textId="77777777" w:rsidR="00FC1197" w:rsidRPr="00FF5F58" w:rsidRDefault="00FC1197" w:rsidP="00DD6527">
      <w:pPr>
        <w:pStyle w:val="Titolo2"/>
      </w:pPr>
      <w:bookmarkStart w:id="15" w:name="_Toc67837120"/>
      <w:proofErr w:type="spellStart"/>
      <w:r>
        <w:t>Pantouflage</w:t>
      </w:r>
      <w:bookmarkEnd w:id="15"/>
      <w:proofErr w:type="spellEnd"/>
    </w:p>
    <w:p w14:paraId="54EB1794" w14:textId="77777777" w:rsidR="0086724C" w:rsidRDefault="00FB7747" w:rsidP="0086724C">
      <w:pPr>
        <w:jc w:val="both"/>
      </w:pPr>
      <w:r>
        <w:br/>
        <w:t>Nell’anno di riferimento delle misure di prevenzione della corruzione in esame, sono stati effettuati controlli sull'attuazione della misura. In particolare:</w:t>
      </w:r>
    </w:p>
    <w:p w14:paraId="11B3AC3F" w14:textId="310931C0" w:rsidR="0086724C" w:rsidRDefault="00FB7747" w:rsidP="0086724C">
      <w:pPr>
        <w:jc w:val="both"/>
      </w:pPr>
      <w:r>
        <w:t xml:space="preserve">- sono state effettuate </w:t>
      </w:r>
      <w:proofErr w:type="gramStart"/>
      <w:r>
        <w:t>5</w:t>
      </w:r>
      <w:proofErr w:type="gramEnd"/>
      <w:r>
        <w:t xml:space="preserve"> verifiche</w:t>
      </w:r>
    </w:p>
    <w:p w14:paraId="1F0F98FB" w14:textId="62432B17" w:rsidR="0086724C" w:rsidRDefault="00FB7747" w:rsidP="0086724C">
      <w:pPr>
        <w:jc w:val="both"/>
      </w:pPr>
      <w:r>
        <w:t xml:space="preserve">- le violazioni accertate a seguito di verifiche ammontano </w:t>
      </w:r>
      <w:proofErr w:type="gramStart"/>
      <w:r>
        <w:t>a  0</w:t>
      </w:r>
      <w:proofErr w:type="gramEnd"/>
    </w:p>
    <w:p w14:paraId="006221C0" w14:textId="644FBA3C" w:rsidR="00FB7747" w:rsidRDefault="00FB7747" w:rsidP="0086724C">
      <w:pPr>
        <w:jc w:val="both"/>
      </w:pPr>
      <w:r>
        <w:br/>
        <w:t xml:space="preserve">Ai sensi degli artt. 53, co. 16 ter, del D.lgs. 165/2001, e 2 e 21 del D.lgs. 39/2013, sono state adottate le seguenti misure rivolte ad evitare assunzioni o conferimenti di incarichi, da parte della </w:t>
      </w:r>
      <w:r w:rsidR="00F22960">
        <w:t>società</w:t>
      </w:r>
      <w:r>
        <w:t xml:space="preserve">, in favore di soggetti cessati dal rapporto di impiego presso altre società/enti, nei tre anni successivi alla cessazione, laddove, abbiano esercitato, per conto di costoro, negli ultimi tre anni di servizio, poteri autoritativi o negoziali nei confronti della </w:t>
      </w:r>
      <w:r w:rsidR="00F22960">
        <w:t>società</w:t>
      </w:r>
      <w:r>
        <w:t>:</w:t>
      </w:r>
      <w:r>
        <w:br/>
        <w:t xml:space="preserve">  - è stata inserita negli interpelli o nell’ambito della selezione del personale la clausola in materia di </w:t>
      </w:r>
      <w:proofErr w:type="spellStart"/>
      <w:r>
        <w:t>pantouflage</w:t>
      </w:r>
      <w:proofErr w:type="spellEnd"/>
      <w:r w:rsidR="0086724C">
        <w:t>;</w:t>
      </w:r>
      <w:r>
        <w:br/>
        <w:t xml:space="preserve">  - è stata resa dagli interessati espressa dichiarazione di insussistenza della causa ostativa</w:t>
      </w:r>
      <w:r w:rsidR="0086724C">
        <w:t>;</w:t>
      </w:r>
      <w:r>
        <w:br/>
        <w:t xml:space="preserve">  - è stata svolta attività di vigilanza secondo criteri autonomamente definiti e su eventuale segnalazione di soggetti esterni</w:t>
      </w:r>
      <w:r w:rsidR="0086724C">
        <w:t>.</w:t>
      </w:r>
    </w:p>
    <w:p w14:paraId="7EBC29CB" w14:textId="15D08E2C" w:rsidR="005B20C9" w:rsidRDefault="005B20C9" w:rsidP="00A82AEF"/>
    <w:p w14:paraId="139C4C75" w14:textId="77777777" w:rsidR="005B20C9" w:rsidRPr="00FF5F58" w:rsidRDefault="005B20C9" w:rsidP="00DD6527">
      <w:pPr>
        <w:pStyle w:val="Titolo2"/>
      </w:pPr>
      <w:bookmarkStart w:id="16" w:name="_Toc67837121"/>
      <w:r w:rsidRPr="005B20C9">
        <w:t>Commissioni e conferimento incarichi in caso di condanna</w:t>
      </w:r>
      <w:bookmarkEnd w:id="16"/>
    </w:p>
    <w:p w14:paraId="02C8B9A7" w14:textId="77777777" w:rsidR="00350FA6" w:rsidRDefault="00C81DD0" w:rsidP="00EB5720">
      <w:pPr>
        <w:spacing w:before="240"/>
        <w:jc w:val="both"/>
      </w:pPr>
      <w:r>
        <w:t>Ferma restando la non applicabilità dell'art. 35 bis D.lgs. n. 165/2001 alle società, e fatte salve le misure disciplinari eventualmente previste dai CCNL, si è scelto di prevedere, in caso di condanna per delitti contro la PA, il divieto di far parte di Commissioni o di assegnazione a determinati uffici.</w:t>
      </w:r>
      <w:r>
        <w:br/>
      </w:r>
    </w:p>
    <w:p w14:paraId="6E2DD3C8" w14:textId="150F309D" w:rsidR="005A1288" w:rsidRDefault="00C81DD0" w:rsidP="00350FA6">
      <w:pPr>
        <w:jc w:val="both"/>
      </w:pPr>
      <w:r>
        <w:t>Nell’anno di riferimento delle misure di prevenzione della corruzione in esame, non sono pervenute segnalazioni relative alla violazione dei divieti contenuti nell’art. 35 bis del d.lgs. n. 165/2001.</w:t>
      </w:r>
      <w:r>
        <w:br/>
      </w:r>
      <w:r>
        <w:br/>
        <w:t xml:space="preserve">Nell’anno di riferimento delle misure di prevenzione della corruzione in esame, sono stati effettuati </w:t>
      </w:r>
      <w:r w:rsidR="00E51B31">
        <w:t>9</w:t>
      </w:r>
      <w:r>
        <w:t xml:space="preserve"> controlli sull’attuazione della misura e non sono state accertate violazioni.</w:t>
      </w:r>
    </w:p>
    <w:p w14:paraId="1C254639" w14:textId="163B0EB7" w:rsidR="005745AF" w:rsidRDefault="005745AF" w:rsidP="00A82AEF"/>
    <w:p w14:paraId="5D03BFF6" w14:textId="77777777" w:rsidR="0038654E" w:rsidRPr="00FF5F58" w:rsidRDefault="008D1456" w:rsidP="0038654E">
      <w:pPr>
        <w:pStyle w:val="Titolo2"/>
      </w:pPr>
      <w:bookmarkStart w:id="17" w:name="_Toc67837122"/>
      <w:r>
        <w:t>Patti di integrità</w:t>
      </w:r>
      <w:bookmarkEnd w:id="17"/>
    </w:p>
    <w:p w14:paraId="73E8369A" w14:textId="77777777" w:rsidR="00FB7747" w:rsidRDefault="00FB7747" w:rsidP="0010188D"/>
    <w:p w14:paraId="3BCE317F" w14:textId="70EB4EE7" w:rsidR="00EB5720" w:rsidRDefault="00FB7747" w:rsidP="00EB5720">
      <w:pPr>
        <w:jc w:val="both"/>
      </w:pPr>
      <w:r>
        <w:t xml:space="preserve">Nell’anno di riferimento delle misure di prevenzione della corruzione in esame, le clausole dei Patti di Integrità sono state inserite in </w:t>
      </w:r>
      <w:r w:rsidR="00350FA6">
        <w:t>tutti gli affidamenti effettuati nei confronti di fornitori tutti iscritti all’Albo Fornitori aziendale che prevede l’accettazione obbligatorio del Patto di Integrità di ASM srl</w:t>
      </w:r>
      <w:r>
        <w:t>.</w:t>
      </w:r>
    </w:p>
    <w:p w14:paraId="2E83A3EA" w14:textId="4D2F118C" w:rsidR="00FB7747" w:rsidRDefault="00FB7747" w:rsidP="00EB5720">
      <w:pPr>
        <w:jc w:val="both"/>
      </w:pPr>
      <w:r>
        <w:lastRenderedPageBreak/>
        <w:t>Nell’anno di riferimento delle misure di prevenzione della corruzione in esame, sono state effettuate 25 verifiche sull’attuazione della misura in seguito alle quali non sono state accertate violazioni</w:t>
      </w:r>
      <w:r w:rsidR="00EB5720">
        <w:t>.</w:t>
      </w:r>
    </w:p>
    <w:p w14:paraId="65DBC35A" w14:textId="7C8702C4" w:rsidR="0038654E" w:rsidRDefault="0038654E" w:rsidP="00A82AEF"/>
    <w:p w14:paraId="3AE249B5" w14:textId="77777777" w:rsidR="00393E5A" w:rsidRPr="00FF5F58" w:rsidRDefault="00393E5A" w:rsidP="00393E5A">
      <w:pPr>
        <w:pStyle w:val="Titolo2"/>
      </w:pPr>
      <w:bookmarkStart w:id="18" w:name="_Toc67837123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163281D1" w14:textId="77777777" w:rsidR="00FB7747" w:rsidRDefault="00FB7747" w:rsidP="00F54F1D"/>
    <w:p w14:paraId="56022952" w14:textId="1BC1B4EB" w:rsidR="008B0415" w:rsidRDefault="00CF2A06" w:rsidP="002B2E2A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della società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positivo su</w:t>
      </w:r>
      <w:r w:rsidR="002B2E2A">
        <w:t>i</w:t>
      </w:r>
      <w:r>
        <w:t xml:space="preserve"> RAPPORTI INTERNI TRA I COLLEGHI</w:t>
      </w:r>
    </w:p>
    <w:p w14:paraId="65A0B7F6" w14:textId="21907D72" w:rsidR="008B0415" w:rsidRDefault="008B0415" w:rsidP="00A82AEF"/>
    <w:p w14:paraId="3F294A77" w14:textId="77777777" w:rsidR="002712B8" w:rsidRDefault="002712B8" w:rsidP="00A82AEF"/>
    <w:p w14:paraId="0C80FDBD" w14:textId="77777777" w:rsidR="00F54F1D" w:rsidRPr="00A82AEF" w:rsidRDefault="00F54F1D" w:rsidP="00F54F1D">
      <w:pPr>
        <w:pStyle w:val="Titolo1"/>
      </w:pPr>
      <w:bookmarkStart w:id="19" w:name="_Toc19022243"/>
      <w:bookmarkStart w:id="20" w:name="_Toc67837124"/>
      <w:r>
        <w:t>RENDICONTAZIONE MISURE SPECIFICHE</w:t>
      </w:r>
      <w:bookmarkEnd w:id="19"/>
      <w:bookmarkEnd w:id="20"/>
    </w:p>
    <w:p w14:paraId="4B92E492" w14:textId="77777777" w:rsidR="00F54F1D" w:rsidRDefault="00F54F1D" w:rsidP="00F54F1D"/>
    <w:p w14:paraId="07B012B3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2DA90B15" w14:textId="77777777" w:rsidR="002965BF" w:rsidRDefault="002965BF" w:rsidP="00A82AEF"/>
    <w:p w14:paraId="48783299" w14:textId="77777777" w:rsidR="00E75EA4" w:rsidRPr="00DD6527" w:rsidRDefault="006460DC" w:rsidP="00E75EA4">
      <w:pPr>
        <w:pStyle w:val="Titolo2"/>
      </w:pPr>
      <w:bookmarkStart w:id="21" w:name="_Toc67837125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639FCE3" w14:textId="77777777" w:rsidR="005D6F2E" w:rsidRDefault="005D6F2E" w:rsidP="00A82AEF"/>
    <w:p w14:paraId="39A75A1F" w14:textId="247266A4" w:rsidR="00B36318" w:rsidRDefault="00B36318" w:rsidP="00F22960">
      <w:pPr>
        <w:jc w:val="both"/>
      </w:pPr>
      <w:r>
        <w:t>Nel corso dell’annualità di riferimento, lo stato di programmazione e attuazione delle misure specifiche è sintetizzato nella seguente tabella</w:t>
      </w:r>
      <w:r w:rsidR="00F22960">
        <w:t>:</w:t>
      </w:r>
    </w:p>
    <w:p w14:paraId="64391FF1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60"/>
        <w:gridCol w:w="1625"/>
        <w:gridCol w:w="1369"/>
        <w:gridCol w:w="1641"/>
        <w:gridCol w:w="1327"/>
      </w:tblGrid>
      <w:tr w:rsidR="009348D6" w14:paraId="0E40106B" w14:textId="77777777" w:rsidTr="00315210">
        <w:tc>
          <w:tcPr>
            <w:tcW w:w="3014" w:type="dxa"/>
          </w:tcPr>
          <w:p w14:paraId="7E8B41BB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3F659354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36D1C2AD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2826336D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5C8FA880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991526" w14:paraId="69A310F8" w14:textId="77777777">
        <w:tc>
          <w:tcPr>
            <w:tcW w:w="0" w:type="auto"/>
          </w:tcPr>
          <w:p w14:paraId="4AC28B26" w14:textId="77777777" w:rsidR="00991526" w:rsidRDefault="000855A4">
            <w:r>
              <w:t>Misure di controllo</w:t>
            </w:r>
          </w:p>
        </w:tc>
        <w:tc>
          <w:tcPr>
            <w:tcW w:w="0" w:type="auto"/>
          </w:tcPr>
          <w:p w14:paraId="24610613" w14:textId="77777777" w:rsidR="00991526" w:rsidRDefault="000855A4">
            <w:r>
              <w:t>1</w:t>
            </w:r>
          </w:p>
        </w:tc>
        <w:tc>
          <w:tcPr>
            <w:tcW w:w="0" w:type="auto"/>
          </w:tcPr>
          <w:p w14:paraId="3932D581" w14:textId="77777777" w:rsidR="00991526" w:rsidRDefault="000855A4">
            <w:r>
              <w:t>1</w:t>
            </w:r>
          </w:p>
        </w:tc>
        <w:tc>
          <w:tcPr>
            <w:tcW w:w="0" w:type="auto"/>
          </w:tcPr>
          <w:p w14:paraId="6E357E17" w14:textId="77777777" w:rsidR="00991526" w:rsidRDefault="000855A4">
            <w:r>
              <w:t>0</w:t>
            </w:r>
          </w:p>
        </w:tc>
        <w:tc>
          <w:tcPr>
            <w:tcW w:w="0" w:type="auto"/>
          </w:tcPr>
          <w:p w14:paraId="15333C75" w14:textId="77777777" w:rsidR="00991526" w:rsidRDefault="000855A4">
            <w:r>
              <w:t>100</w:t>
            </w:r>
          </w:p>
        </w:tc>
      </w:tr>
      <w:tr w:rsidR="00991526" w14:paraId="4E5BD24B" w14:textId="77777777">
        <w:tc>
          <w:tcPr>
            <w:tcW w:w="0" w:type="auto"/>
          </w:tcPr>
          <w:p w14:paraId="2FCEEA56" w14:textId="77777777" w:rsidR="00991526" w:rsidRDefault="000855A4">
            <w:r>
              <w:t>Misure di trasparenza</w:t>
            </w:r>
          </w:p>
        </w:tc>
        <w:tc>
          <w:tcPr>
            <w:tcW w:w="0" w:type="auto"/>
          </w:tcPr>
          <w:p w14:paraId="3000C2D4" w14:textId="77777777" w:rsidR="00991526" w:rsidRDefault="000855A4">
            <w:r>
              <w:t>2</w:t>
            </w:r>
          </w:p>
        </w:tc>
        <w:tc>
          <w:tcPr>
            <w:tcW w:w="0" w:type="auto"/>
          </w:tcPr>
          <w:p w14:paraId="283F13D6" w14:textId="77777777" w:rsidR="00991526" w:rsidRDefault="000855A4">
            <w:r>
              <w:t>2</w:t>
            </w:r>
          </w:p>
        </w:tc>
        <w:tc>
          <w:tcPr>
            <w:tcW w:w="0" w:type="auto"/>
          </w:tcPr>
          <w:p w14:paraId="16E8C3E6" w14:textId="77777777" w:rsidR="00991526" w:rsidRDefault="000855A4">
            <w:r>
              <w:t>0</w:t>
            </w:r>
          </w:p>
        </w:tc>
        <w:tc>
          <w:tcPr>
            <w:tcW w:w="0" w:type="auto"/>
          </w:tcPr>
          <w:p w14:paraId="7AB00925" w14:textId="77777777" w:rsidR="00991526" w:rsidRDefault="000855A4">
            <w:r>
              <w:t>100</w:t>
            </w:r>
          </w:p>
        </w:tc>
      </w:tr>
      <w:tr w:rsidR="00991526" w14:paraId="2DAA5B1A" w14:textId="77777777">
        <w:tc>
          <w:tcPr>
            <w:tcW w:w="0" w:type="auto"/>
          </w:tcPr>
          <w:p w14:paraId="339F58D8" w14:textId="77777777" w:rsidR="00991526" w:rsidRDefault="000855A4">
            <w:r>
              <w:t>Misure di formazione</w:t>
            </w:r>
          </w:p>
        </w:tc>
        <w:tc>
          <w:tcPr>
            <w:tcW w:w="0" w:type="auto"/>
          </w:tcPr>
          <w:p w14:paraId="032028E5" w14:textId="77777777" w:rsidR="00991526" w:rsidRDefault="000855A4">
            <w:r>
              <w:t>4</w:t>
            </w:r>
          </w:p>
        </w:tc>
        <w:tc>
          <w:tcPr>
            <w:tcW w:w="0" w:type="auto"/>
          </w:tcPr>
          <w:p w14:paraId="03CD852E" w14:textId="77777777" w:rsidR="00991526" w:rsidRDefault="000855A4">
            <w:r>
              <w:t>4</w:t>
            </w:r>
          </w:p>
        </w:tc>
        <w:tc>
          <w:tcPr>
            <w:tcW w:w="0" w:type="auto"/>
          </w:tcPr>
          <w:p w14:paraId="7E7ADAB9" w14:textId="77777777" w:rsidR="00991526" w:rsidRDefault="000855A4">
            <w:r>
              <w:t>0</w:t>
            </w:r>
          </w:p>
        </w:tc>
        <w:tc>
          <w:tcPr>
            <w:tcW w:w="0" w:type="auto"/>
          </w:tcPr>
          <w:p w14:paraId="4A25F810" w14:textId="77777777" w:rsidR="00991526" w:rsidRDefault="000855A4">
            <w:r>
              <w:t>100</w:t>
            </w:r>
          </w:p>
        </w:tc>
      </w:tr>
      <w:tr w:rsidR="00991526" w14:paraId="35C068A0" w14:textId="77777777">
        <w:tc>
          <w:tcPr>
            <w:tcW w:w="0" w:type="auto"/>
          </w:tcPr>
          <w:p w14:paraId="7B75AD63" w14:textId="77777777" w:rsidR="00991526" w:rsidRDefault="000855A4">
            <w:r>
              <w:t>Misure di rotazione</w:t>
            </w:r>
          </w:p>
        </w:tc>
        <w:tc>
          <w:tcPr>
            <w:tcW w:w="0" w:type="auto"/>
          </w:tcPr>
          <w:p w14:paraId="6C89B0F7" w14:textId="77777777" w:rsidR="00991526" w:rsidRDefault="000855A4">
            <w:r>
              <w:t>3</w:t>
            </w:r>
          </w:p>
        </w:tc>
        <w:tc>
          <w:tcPr>
            <w:tcW w:w="0" w:type="auto"/>
          </w:tcPr>
          <w:p w14:paraId="7956D343" w14:textId="77777777" w:rsidR="00991526" w:rsidRDefault="000855A4">
            <w:r>
              <w:t>3</w:t>
            </w:r>
          </w:p>
        </w:tc>
        <w:tc>
          <w:tcPr>
            <w:tcW w:w="0" w:type="auto"/>
          </w:tcPr>
          <w:p w14:paraId="12F3A1F6" w14:textId="77777777" w:rsidR="00991526" w:rsidRDefault="000855A4">
            <w:r>
              <w:t>0</w:t>
            </w:r>
          </w:p>
        </w:tc>
        <w:tc>
          <w:tcPr>
            <w:tcW w:w="0" w:type="auto"/>
          </w:tcPr>
          <w:p w14:paraId="27990E25" w14:textId="77777777" w:rsidR="00991526" w:rsidRDefault="000855A4">
            <w:r>
              <w:t>100</w:t>
            </w:r>
          </w:p>
        </w:tc>
      </w:tr>
      <w:tr w:rsidR="00991526" w14:paraId="0502ABD2" w14:textId="77777777">
        <w:tc>
          <w:tcPr>
            <w:tcW w:w="0" w:type="auto"/>
          </w:tcPr>
          <w:p w14:paraId="317A8B08" w14:textId="77777777" w:rsidR="00991526" w:rsidRDefault="000855A4">
            <w:r>
              <w:t>Misure di disciplina del conflitto di interessi</w:t>
            </w:r>
          </w:p>
        </w:tc>
        <w:tc>
          <w:tcPr>
            <w:tcW w:w="0" w:type="auto"/>
          </w:tcPr>
          <w:p w14:paraId="453481A1" w14:textId="77777777" w:rsidR="00991526" w:rsidRDefault="000855A4">
            <w:r>
              <w:t>2</w:t>
            </w:r>
          </w:p>
        </w:tc>
        <w:tc>
          <w:tcPr>
            <w:tcW w:w="0" w:type="auto"/>
          </w:tcPr>
          <w:p w14:paraId="0A5DE185" w14:textId="77777777" w:rsidR="00991526" w:rsidRDefault="000855A4">
            <w:r>
              <w:t>2</w:t>
            </w:r>
          </w:p>
        </w:tc>
        <w:tc>
          <w:tcPr>
            <w:tcW w:w="0" w:type="auto"/>
          </w:tcPr>
          <w:p w14:paraId="4EA17199" w14:textId="77777777" w:rsidR="00991526" w:rsidRDefault="000855A4">
            <w:r>
              <w:t>0</w:t>
            </w:r>
          </w:p>
        </w:tc>
        <w:tc>
          <w:tcPr>
            <w:tcW w:w="0" w:type="auto"/>
          </w:tcPr>
          <w:p w14:paraId="228FE2F6" w14:textId="77777777" w:rsidR="00991526" w:rsidRDefault="000855A4">
            <w:r>
              <w:t>100</w:t>
            </w:r>
          </w:p>
        </w:tc>
      </w:tr>
      <w:tr w:rsidR="00991526" w14:paraId="762AF958" w14:textId="77777777">
        <w:tc>
          <w:tcPr>
            <w:tcW w:w="0" w:type="auto"/>
          </w:tcPr>
          <w:p w14:paraId="52865075" w14:textId="77777777" w:rsidR="00991526" w:rsidRDefault="000855A4">
            <w:r>
              <w:t>TOTALI</w:t>
            </w:r>
          </w:p>
        </w:tc>
        <w:tc>
          <w:tcPr>
            <w:tcW w:w="0" w:type="auto"/>
          </w:tcPr>
          <w:p w14:paraId="05C9890D" w14:textId="77777777" w:rsidR="00991526" w:rsidRDefault="000855A4">
            <w:r>
              <w:t>12</w:t>
            </w:r>
          </w:p>
        </w:tc>
        <w:tc>
          <w:tcPr>
            <w:tcW w:w="0" w:type="auto"/>
          </w:tcPr>
          <w:p w14:paraId="1F9B6475" w14:textId="77777777" w:rsidR="00991526" w:rsidRDefault="000855A4">
            <w:r>
              <w:t>12</w:t>
            </w:r>
          </w:p>
        </w:tc>
        <w:tc>
          <w:tcPr>
            <w:tcW w:w="0" w:type="auto"/>
          </w:tcPr>
          <w:p w14:paraId="2769A0D7" w14:textId="77777777" w:rsidR="00991526" w:rsidRDefault="000855A4">
            <w:r>
              <w:t>0</w:t>
            </w:r>
          </w:p>
        </w:tc>
        <w:tc>
          <w:tcPr>
            <w:tcW w:w="0" w:type="auto"/>
          </w:tcPr>
          <w:p w14:paraId="1A4C24C2" w14:textId="77777777" w:rsidR="00991526" w:rsidRDefault="000855A4">
            <w:r>
              <w:t>100</w:t>
            </w:r>
          </w:p>
        </w:tc>
      </w:tr>
    </w:tbl>
    <w:p w14:paraId="1EAE21B8" w14:textId="1006EAC9" w:rsidR="00214959" w:rsidRDefault="00214959" w:rsidP="00A82AEF"/>
    <w:p w14:paraId="7469DCCF" w14:textId="77777777" w:rsidR="00F22960" w:rsidRDefault="00F22960" w:rsidP="00A82AEF"/>
    <w:p w14:paraId="19504233" w14:textId="77777777" w:rsidR="0017516A" w:rsidRPr="00B50D70" w:rsidRDefault="0017516A" w:rsidP="0017516A">
      <w:pPr>
        <w:pStyle w:val="Titolo1"/>
      </w:pPr>
      <w:bookmarkStart w:id="22" w:name="_Toc19022245"/>
      <w:bookmarkStart w:id="23" w:name="_Toc67837126"/>
      <w:r>
        <w:t>MONITORAGGIO GESTIONE DEL RISCHIO</w:t>
      </w:r>
      <w:bookmarkEnd w:id="22"/>
      <w:bookmarkEnd w:id="23"/>
      <w:r w:rsidRPr="00995656">
        <w:t xml:space="preserve"> </w:t>
      </w:r>
    </w:p>
    <w:p w14:paraId="37085467" w14:textId="77777777" w:rsidR="0017516A" w:rsidRDefault="0017516A" w:rsidP="0017516A"/>
    <w:p w14:paraId="79E40A44" w14:textId="77777777" w:rsidR="00F22960" w:rsidRDefault="00B057F9" w:rsidP="00F22960">
      <w:pPr>
        <w:jc w:val="both"/>
      </w:pPr>
      <w:r>
        <w:t>Nel corso dell'anno di riferimento delle misure di prevenzione della corruzione in esame non sono pervenute segnalazioni per eventi corruttivi o condotte di natura corruttiva.</w:t>
      </w:r>
      <w:r>
        <w:br/>
      </w:r>
      <w:r>
        <w:br/>
        <w:t>Si ritiene che la messa in atto del processo di gestione del rischio abbia generato dentro l’organizzazione i seguenti effetti:</w:t>
      </w:r>
    </w:p>
    <w:p w14:paraId="5920ACC4" w14:textId="5590C5E6" w:rsidR="00F22960" w:rsidRDefault="00B057F9" w:rsidP="00F22960">
      <w:pPr>
        <w:jc w:val="both"/>
      </w:pPr>
      <w:r>
        <w:lastRenderedPageBreak/>
        <w:t xml:space="preserve">  - la consapevolezza del fenomeno corruttivo è aumentata in ragione di: I DIPENDENTI SONO PI</w:t>
      </w:r>
      <w:r w:rsidR="00F22960">
        <w:t>U’</w:t>
      </w:r>
      <w:r>
        <w:t xml:space="preserve"> CONSAPEVOLI DELLE LORO AZIONI</w:t>
      </w:r>
      <w:r w:rsidR="00F22960">
        <w:t>;</w:t>
      </w:r>
    </w:p>
    <w:p w14:paraId="2C73E929" w14:textId="171CAE64" w:rsidR="00B057F9" w:rsidRDefault="00B057F9" w:rsidP="00F22960">
      <w:pPr>
        <w:jc w:val="both"/>
      </w:pPr>
      <w:r>
        <w:t xml:space="preserve">  - la capacità di scoprire casi di corruzione è aumentata in ragione di: MAGGIORE ATTENZIONE E MONITORAGGIO</w:t>
      </w:r>
      <w:r w:rsidR="00F22960">
        <w:t>;</w:t>
      </w:r>
      <w:r>
        <w:br/>
        <w:t xml:space="preserve">  - la reputazione dell'ente è aumentata in ragione di: TRAMITE IL SITO AZIENDALE VIENE MESSA IN EVIDENZA L'AT</w:t>
      </w:r>
      <w:r w:rsidR="00F22960">
        <w:t>T</w:t>
      </w:r>
      <w:r>
        <w:t>IVITA' CHE GIORNALMENTE VIENE SVOLTA</w:t>
      </w:r>
      <w:r w:rsidR="00F22960">
        <w:t>.</w:t>
      </w:r>
    </w:p>
    <w:p w14:paraId="6674798E" w14:textId="77777777" w:rsidR="002965BF" w:rsidRDefault="002965BF" w:rsidP="00F22960">
      <w:pPr>
        <w:jc w:val="both"/>
      </w:pPr>
    </w:p>
    <w:p w14:paraId="13D89453" w14:textId="77777777" w:rsidR="0017516A" w:rsidRPr="00B50D70" w:rsidRDefault="0017516A" w:rsidP="0017516A">
      <w:pPr>
        <w:pStyle w:val="Titolo1"/>
      </w:pPr>
      <w:bookmarkStart w:id="24" w:name="_Toc19022247"/>
      <w:bookmarkStart w:id="25" w:name="_Toc67837127"/>
      <w:r>
        <w:t>MONITORAGGIO PROCEDIMENTI PENALI</w:t>
      </w:r>
      <w:bookmarkEnd w:id="24"/>
      <w:bookmarkEnd w:id="25"/>
      <w:r w:rsidRPr="00995656">
        <w:t xml:space="preserve"> </w:t>
      </w:r>
    </w:p>
    <w:p w14:paraId="76BEF902" w14:textId="77777777" w:rsidR="001D26AC" w:rsidRDefault="001D26AC" w:rsidP="001D26AC">
      <w:pPr>
        <w:rPr>
          <w:color w:val="000000" w:themeColor="text1"/>
        </w:rPr>
      </w:pPr>
    </w:p>
    <w:p w14:paraId="2F192F59" w14:textId="65D4A6FA" w:rsidR="00F22960" w:rsidRDefault="00FB7747" w:rsidP="00F22960">
      <w:pPr>
        <w:jc w:val="both"/>
        <w:rPr>
          <w:color w:val="000000" w:themeColor="text1"/>
        </w:rPr>
      </w:pPr>
      <w:r>
        <w:rPr>
          <w:color w:val="000000" w:themeColor="text1"/>
        </w:rPr>
        <w:t>Nell'anno di riferimento delle misure di prevenzione della corruzione in esame non ci sono state denunce riguardanti eventi corruttivi o condotte di natura corruttiva, a carico di dipendenti della società.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delle misure di prevenzione della corruzione non sono stati avviati procedimenti penali a carico di dipendenti della società per eventi corruttivi o condotte di natura corruttiva.</w:t>
      </w:r>
    </w:p>
    <w:p w14:paraId="2A16C1A7" w14:textId="77777777" w:rsidR="00A1506F" w:rsidRDefault="00A1506F" w:rsidP="00F22960">
      <w:pPr>
        <w:jc w:val="both"/>
        <w:rPr>
          <w:color w:val="000000" w:themeColor="text1"/>
        </w:rPr>
      </w:pPr>
    </w:p>
    <w:p w14:paraId="010944C8" w14:textId="77777777" w:rsidR="00DE5868" w:rsidRDefault="00FB7747" w:rsidP="00F2296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Nell'anno di riferimento delle misure di prevenzione della corruzione non sono stati conclusi con provvedimento non definitivo, procedimenti penali a carico di dipendenti della </w:t>
      </w:r>
      <w:r w:rsidR="00F22960">
        <w:rPr>
          <w:color w:val="000000" w:themeColor="text1"/>
        </w:rPr>
        <w:t>società</w:t>
      </w:r>
      <w:r>
        <w:rPr>
          <w:color w:val="000000" w:themeColor="text1"/>
        </w:rPr>
        <w:t xml:space="preserve"> per eventi corruttivi o condotte di natura corruttiva.</w:t>
      </w:r>
    </w:p>
    <w:p w14:paraId="1763BF29" w14:textId="5BA0696C" w:rsidR="00FB7747" w:rsidRDefault="00FB7747" w:rsidP="00F22960">
      <w:pPr>
        <w:jc w:val="both"/>
        <w:rPr>
          <w:color w:val="000000" w:themeColor="text1"/>
        </w:rPr>
      </w:pPr>
      <w:r>
        <w:rPr>
          <w:color w:val="000000" w:themeColor="text1"/>
        </w:rPr>
        <w:br/>
        <w:t xml:space="preserve">Nell'anno di riferimento delle misure di prevenzione della corruzione non sono stati conclusi con sentenza o altro provvedimento definitivo, procedimenti penali a carico di dipendenti della </w:t>
      </w:r>
      <w:r w:rsidR="00F22960">
        <w:rPr>
          <w:color w:val="000000" w:themeColor="text1"/>
        </w:rPr>
        <w:t>società</w:t>
      </w:r>
      <w:r>
        <w:rPr>
          <w:color w:val="000000" w:themeColor="text1"/>
        </w:rPr>
        <w:t xml:space="preserve"> per eventi corruttivi o condotte di natura corruttiva.</w:t>
      </w:r>
    </w:p>
    <w:p w14:paraId="7B327779" w14:textId="77777777" w:rsidR="00DE5868" w:rsidRDefault="00DE5868" w:rsidP="0017516A"/>
    <w:p w14:paraId="1C513188" w14:textId="77777777" w:rsidR="0017516A" w:rsidRPr="00B50D70" w:rsidRDefault="0017516A" w:rsidP="0017516A">
      <w:pPr>
        <w:pStyle w:val="Titolo1"/>
      </w:pPr>
      <w:bookmarkStart w:id="26" w:name="_Toc19022248"/>
      <w:bookmarkStart w:id="27" w:name="_Toc67837128"/>
      <w:r>
        <w:t>MONITORAGGIO PROCEDIMENTI DISCIPLINARI</w:t>
      </w:r>
      <w:bookmarkEnd w:id="26"/>
      <w:bookmarkEnd w:id="27"/>
      <w:r w:rsidRPr="00995656">
        <w:t xml:space="preserve"> </w:t>
      </w:r>
    </w:p>
    <w:p w14:paraId="71E5E3C1" w14:textId="77777777" w:rsidR="00F30A9E" w:rsidRDefault="00F30A9E" w:rsidP="00F30A9E"/>
    <w:p w14:paraId="1B5F498B" w14:textId="6C440F81" w:rsidR="00FB7747" w:rsidRDefault="00FB7747" w:rsidP="00DE5868">
      <w:pPr>
        <w:jc w:val="both"/>
      </w:pPr>
      <w:r>
        <w:t xml:space="preserve">Nel corso dell’anno di riferimento delle misure di prevenzione della corruzione non sono stati avviati procedimenti disciplinari riconducibili </w:t>
      </w:r>
      <w:r w:rsidR="00A1506F">
        <w:t xml:space="preserve">a </w:t>
      </w:r>
      <w:r>
        <w:t>eventi corruttivi o condotte di natura corruttiva a carico di dipendenti.</w:t>
      </w:r>
    </w:p>
    <w:p w14:paraId="7AB123C5" w14:textId="77777777" w:rsidR="00DE5868" w:rsidRDefault="00DE5868" w:rsidP="0017516A"/>
    <w:p w14:paraId="0C1F1853" w14:textId="77777777" w:rsidR="0017516A" w:rsidRDefault="0017516A" w:rsidP="0017516A">
      <w:pPr>
        <w:pStyle w:val="Titolo1"/>
      </w:pPr>
      <w:bookmarkStart w:id="28" w:name="_Toc67837129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1FF4E419" w14:textId="77777777" w:rsidR="00364749" w:rsidRDefault="00364749" w:rsidP="00364749"/>
    <w:p w14:paraId="63F8A374" w14:textId="77777777" w:rsidR="00B83FFD" w:rsidRDefault="00364749" w:rsidP="00B83FFD">
      <w:pPr>
        <w:jc w:val="both"/>
      </w:pPr>
      <w:r>
        <w:t>Si ritiene che la messa in atto del processo di gestione del rischio abbia generato dentro l’organizzazione i seguenti effetti</w:t>
      </w:r>
      <w:r w:rsidR="00B83FFD">
        <w:t xml:space="preserve"> positivi</w:t>
      </w:r>
      <w:r>
        <w:t xml:space="preserve"> per le seguenti ragioni: GRAZIE ALLA COLLABORAZIONE DI TUTTI I DIPENDENTI VENGONO OSSERVATE E SEGUITE TUTTE LE MISURA CHE L'RPCT METTE IN ATTO CON GRANDE RESPONSABILITA' E DEVOZIONE.</w:t>
      </w:r>
    </w:p>
    <w:p w14:paraId="10DF528D" w14:textId="54A384E3" w:rsidR="00364749" w:rsidRDefault="00364749" w:rsidP="00B83FFD">
      <w:pPr>
        <w:jc w:val="both"/>
      </w:pP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RISULTATI ECCELLENTI E MANCANZA DI FENOMENI CORRUTTIVI.</w:t>
      </w:r>
      <w:r>
        <w:br/>
      </w:r>
      <w:r>
        <w:br/>
        <w:t xml:space="preserve">Si ritiene che l'esercizio del ruolo di impulso e coordinamento del RPCT rispetto alla messa in atto del processo di gestione del rischio (definito attraverso una valutazione sintetica) sia stato idoneo </w:t>
      </w:r>
      <w:r>
        <w:lastRenderedPageBreak/>
        <w:t>per le seguenti ragioni: AZIONE E RESPONSABILITA' DENOTANO LA FIGURA DEL RPCT CHE DIVENTA COSI' ASSOLUTAMENTE IDONEA A SVOLGERE IL PROPRIO RUOLO CON RISULTATI EVIDENTI E TANGIBILI.</w:t>
      </w:r>
    </w:p>
    <w:p w14:paraId="47EDB4A8" w14:textId="50DCC055" w:rsidR="00364749" w:rsidRDefault="00364749" w:rsidP="00364749"/>
    <w:p w14:paraId="3FCB63C1" w14:textId="77777777" w:rsidR="00587CC9" w:rsidRDefault="00587CC9" w:rsidP="00364749"/>
    <w:p w14:paraId="053874D7" w14:textId="77777777" w:rsidR="00E46B44" w:rsidRDefault="00E46B44" w:rsidP="00E46B44">
      <w:pPr>
        <w:pStyle w:val="Titolo1"/>
      </w:pPr>
      <w:bookmarkStart w:id="30" w:name="_Toc67837130"/>
      <w:r>
        <w:t>MONITORAGGIO MISURE SPECIFICHE</w:t>
      </w:r>
      <w:bookmarkEnd w:id="30"/>
    </w:p>
    <w:p w14:paraId="61E70D7B" w14:textId="77777777" w:rsidR="00E46B44" w:rsidRDefault="00E46B44" w:rsidP="00E46B44"/>
    <w:p w14:paraId="77FD1C6B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443834EC" w14:textId="77777777" w:rsidR="00E46B44" w:rsidRPr="00587CC9" w:rsidRDefault="00E46B44" w:rsidP="00E46B44">
      <w:pPr>
        <w:rPr>
          <w:sz w:val="32"/>
          <w:szCs w:val="32"/>
        </w:rPr>
      </w:pPr>
    </w:p>
    <w:p w14:paraId="3B532BE9" w14:textId="77777777" w:rsidR="00E46B44" w:rsidRPr="00380B17" w:rsidRDefault="00E46B44" w:rsidP="00380B17">
      <w:pPr>
        <w:pStyle w:val="Titolo2"/>
      </w:pPr>
      <w:bookmarkStart w:id="31" w:name="_Toc67837131"/>
      <w:r w:rsidRPr="00380B17">
        <w:t>Misure specifiche di controllo</w:t>
      </w:r>
      <w:bookmarkEnd w:id="31"/>
    </w:p>
    <w:p w14:paraId="00C84BE3" w14:textId="77777777" w:rsidR="00E46B44" w:rsidRDefault="00E46B44" w:rsidP="00E46B44"/>
    <w:p w14:paraId="12113BCF" w14:textId="77777777" w:rsidR="00B83FFD" w:rsidRDefault="00E46B44" w:rsidP="00B83FFD">
      <w:pPr>
        <w:jc w:val="both"/>
      </w:pPr>
      <w:r>
        <w:t>Con riferimento all’attuazione delle misure specifiche di controllo, nell’anno di riferimento delle misure di prevenzione della corruzione si evidenzia quanto segue:</w:t>
      </w:r>
    </w:p>
    <w:p w14:paraId="2ED765F6" w14:textId="45E139C6" w:rsidR="00B83FFD" w:rsidRDefault="00E46B44" w:rsidP="00B83FFD">
      <w:pPr>
        <w:jc w:val="both"/>
      </w:pPr>
      <w:r>
        <w:t xml:space="preserve">  -  Numero di misure programmate: </w:t>
      </w:r>
      <w:r w:rsidR="00832AF8">
        <w:t>1</w:t>
      </w:r>
      <w:r w:rsidR="00B83FFD">
        <w:t>;</w:t>
      </w:r>
    </w:p>
    <w:p w14:paraId="04ADA965" w14:textId="19CAF95C" w:rsidR="00B83FFD" w:rsidRDefault="00E46B44" w:rsidP="00B83FFD">
      <w:pPr>
        <w:jc w:val="both"/>
      </w:pPr>
      <w:r>
        <w:t xml:space="preserve">  -  Numero di misure attuate nei tempi previsti: </w:t>
      </w:r>
      <w:r w:rsidR="00832AF8">
        <w:t>1</w:t>
      </w:r>
      <w:r w:rsidR="00B83FFD">
        <w:t>;</w:t>
      </w:r>
    </w:p>
    <w:p w14:paraId="22C145FC" w14:textId="77777777" w:rsidR="00B83FFD" w:rsidRDefault="00E46B44" w:rsidP="00B83FFD">
      <w:pPr>
        <w:jc w:val="both"/>
      </w:pPr>
      <w:r>
        <w:t xml:space="preserve">  -  Numero di misure non attuate: 0</w:t>
      </w:r>
      <w:r w:rsidR="00B83FFD">
        <w:t>;</w:t>
      </w:r>
    </w:p>
    <w:p w14:paraId="1AD42CC1" w14:textId="3B22FB41" w:rsidR="00B83FFD" w:rsidRPr="003039BD" w:rsidRDefault="00E46B44" w:rsidP="00B83FFD">
      <w:pPr>
        <w:jc w:val="both"/>
        <w:rPr>
          <w:b/>
          <w:bCs/>
        </w:rPr>
      </w:pPr>
      <w:r>
        <w:br/>
      </w:r>
      <w:r w:rsidRPr="003039BD">
        <w:rPr>
          <w:b/>
          <w:bCs/>
        </w:rPr>
        <w:t>Area di rischio: D.3 Contratti pubblici - Selezione del contraente</w:t>
      </w:r>
    </w:p>
    <w:p w14:paraId="5D57F668" w14:textId="7B89D65C" w:rsidR="00B83FFD" w:rsidRDefault="00E46B44" w:rsidP="00B83FFD">
      <w:pPr>
        <w:jc w:val="both"/>
      </w:pPr>
      <w:r>
        <w:t>Denominazione misura: si veda</w:t>
      </w:r>
      <w:r w:rsidR="00B83FFD">
        <w:t>, all’interno del Manuale della Qualità di ASM srl,</w:t>
      </w:r>
      <w:r>
        <w:t xml:space="preserve"> la sezione SEZ.05 – MISURAZIONI ANALISI E MIGLIORAMENTO, le Procedure PCO 01 e PCO 02, oltre, che, come sopra riportato, il regolamento acquisti, IAP01, oggetto di aggiornamenti relativi all’entrata in vigore del d.lgs. 50/2016</w:t>
      </w:r>
      <w:r w:rsidR="00832AF8">
        <w:t xml:space="preserve"> e </w:t>
      </w:r>
      <w:proofErr w:type="spellStart"/>
      <w:r w:rsidR="00832AF8">
        <w:t>ss.mm.ii</w:t>
      </w:r>
      <w:proofErr w:type="spellEnd"/>
      <w:r>
        <w:t>.</w:t>
      </w:r>
    </w:p>
    <w:p w14:paraId="1F13E675" w14:textId="1294C921" w:rsidR="00E46B44" w:rsidRDefault="00E46B44" w:rsidP="00B83FFD">
      <w:pPr>
        <w:jc w:val="both"/>
      </w:pPr>
      <w:r>
        <w:t>La misura è stata attuata nei tempi previsti.</w:t>
      </w:r>
    </w:p>
    <w:p w14:paraId="3E4DB877" w14:textId="77777777" w:rsidR="002965BF" w:rsidRPr="00587CC9" w:rsidRDefault="002965BF" w:rsidP="00E46B44">
      <w:pPr>
        <w:rPr>
          <w:sz w:val="32"/>
          <w:szCs w:val="32"/>
        </w:rPr>
      </w:pPr>
    </w:p>
    <w:p w14:paraId="0B44A5E3" w14:textId="77777777" w:rsidR="00E46B44" w:rsidRDefault="00E46B44" w:rsidP="00380B17">
      <w:pPr>
        <w:pStyle w:val="Titolo2"/>
      </w:pPr>
      <w:bookmarkStart w:id="32" w:name="_Toc67837132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639CB96C" w14:textId="77777777" w:rsidR="00E46B44" w:rsidRDefault="00E46B44" w:rsidP="00E46B44"/>
    <w:p w14:paraId="649661F1" w14:textId="480DB4C5" w:rsidR="003039BD" w:rsidRPr="003039BD" w:rsidRDefault="00E46B44" w:rsidP="002965BF">
      <w:pPr>
        <w:rPr>
          <w:b/>
          <w:bCs/>
        </w:rPr>
      </w:pPr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</w:r>
      <w:r w:rsidRPr="003039BD">
        <w:rPr>
          <w:b/>
          <w:bCs/>
        </w:rPr>
        <w:t>Area di rischio: A. Acquisizione e progressione del personale</w:t>
      </w:r>
    </w:p>
    <w:p w14:paraId="2B54CCBD" w14:textId="77777777" w:rsidR="003039BD" w:rsidRDefault="00E46B44" w:rsidP="003039BD">
      <w:pPr>
        <w:jc w:val="both"/>
      </w:pPr>
      <w:r>
        <w:t>Denominazione misura: PUBBLICAZIONE SUL SITO DI ASM SRL DI TUTTI I BANDI DI CONCORSO IN SVOLGIMENTO, GRADUATORIE ED ESITI FINALI.</w:t>
      </w:r>
    </w:p>
    <w:p w14:paraId="3840328C" w14:textId="77777777" w:rsidR="003039BD" w:rsidRDefault="00E46B44" w:rsidP="003039BD">
      <w:pPr>
        <w:jc w:val="both"/>
      </w:pPr>
      <w:r>
        <w:t>La misura è stata attuata nei tempi previsti.</w:t>
      </w:r>
    </w:p>
    <w:p w14:paraId="50050288" w14:textId="77777777" w:rsidR="003039BD" w:rsidRDefault="003039BD" w:rsidP="003039BD">
      <w:pPr>
        <w:jc w:val="both"/>
      </w:pPr>
    </w:p>
    <w:p w14:paraId="6D1BF7F9" w14:textId="77777777" w:rsidR="003039BD" w:rsidRPr="003039BD" w:rsidRDefault="00E46B44" w:rsidP="003039BD">
      <w:pPr>
        <w:jc w:val="both"/>
        <w:rPr>
          <w:b/>
          <w:bCs/>
        </w:rPr>
      </w:pPr>
      <w:r w:rsidRPr="003039BD">
        <w:rPr>
          <w:b/>
          <w:bCs/>
        </w:rPr>
        <w:t>Area di rischio: D.3 Contratti pubblici - Selezione del contraente</w:t>
      </w:r>
    </w:p>
    <w:p w14:paraId="0E825AC6" w14:textId="461E4AC9" w:rsidR="00E46B44" w:rsidRDefault="00E46B44" w:rsidP="003039BD">
      <w:pPr>
        <w:jc w:val="both"/>
      </w:pPr>
      <w:r>
        <w:t xml:space="preserve">Denominazione misura: </w:t>
      </w:r>
      <w:r w:rsidR="009745CF">
        <w:t xml:space="preserve">UTILIZZO </w:t>
      </w:r>
      <w:r>
        <w:t>PIATTAFORM</w:t>
      </w:r>
      <w:r w:rsidR="00832AF8">
        <w:t>A</w:t>
      </w:r>
      <w:r>
        <w:t xml:space="preserve"> TELEMATICA PER LA GESTIONE DEL PROCESSO DI APPROVVIGIONAMENTO, COLLEGATO DIRETTAMENTE ALLA SEZIONE BANDI DI GARA IN SOCIETA' TRASPARENTE.</w:t>
      </w:r>
      <w:r>
        <w:br/>
        <w:t>La misura è stata attuata nei tempi previsti.</w:t>
      </w:r>
    </w:p>
    <w:p w14:paraId="0C70BCEB" w14:textId="65050391" w:rsidR="00E46B44" w:rsidRDefault="00E46B44" w:rsidP="00E46B44"/>
    <w:p w14:paraId="5C0C47A1" w14:textId="77777777" w:rsidR="00E46B44" w:rsidRDefault="00E46B44" w:rsidP="00C37249">
      <w:pPr>
        <w:pStyle w:val="Titolo2"/>
        <w:jc w:val="both"/>
      </w:pPr>
      <w:bookmarkStart w:id="33" w:name="_Toc67837133"/>
      <w:r>
        <w:lastRenderedPageBreak/>
        <w:t>Misure specifiche di definizione e promozione dell’etica e di standard di comportamento</w:t>
      </w:r>
      <w:bookmarkEnd w:id="33"/>
    </w:p>
    <w:p w14:paraId="5E24D789" w14:textId="77777777" w:rsidR="00E46B44" w:rsidRDefault="00E46B44" w:rsidP="00E46B44"/>
    <w:p w14:paraId="0BADB330" w14:textId="012021F6" w:rsidR="00746A19" w:rsidRPr="00746A19" w:rsidRDefault="00746A19" w:rsidP="009745CF">
      <w:pPr>
        <w:jc w:val="both"/>
      </w:pPr>
      <w:proofErr w:type="gramStart"/>
      <w:r w:rsidRPr="00746A19">
        <w:t>E’</w:t>
      </w:r>
      <w:proofErr w:type="gramEnd"/>
      <w:r w:rsidRPr="00746A19">
        <w:t xml:space="preserve"> in vigore il Codice di Etico di ASM, </w:t>
      </w:r>
      <w:r w:rsidR="009745CF">
        <w:t xml:space="preserve">aggiornato nell’anno 2021 con Valori e Mission aziendali, </w:t>
      </w:r>
      <w:r w:rsidRPr="00746A19">
        <w:t>che è stato trasmesso a tutti i dipendenti.</w:t>
      </w:r>
    </w:p>
    <w:p w14:paraId="08A60F6E" w14:textId="51E06BC3" w:rsidR="00746A19" w:rsidRPr="00746A19" w:rsidRDefault="00746A19" w:rsidP="009745CF">
      <w:pPr>
        <w:jc w:val="both"/>
      </w:pPr>
      <w:r w:rsidRPr="00746A19">
        <w:t>La Società opera nel rispetto dei regolamenti per l’affidamento degli appalti c.d. sottosoglia e per</w:t>
      </w:r>
      <w:r w:rsidR="00227621">
        <w:t xml:space="preserve"> </w:t>
      </w:r>
      <w:r w:rsidRPr="00746A19">
        <w:t>la selezione del personale; il regolamento per l’affidamento degli appalti sottosoglia è stato</w:t>
      </w:r>
      <w:r>
        <w:t xml:space="preserve"> </w:t>
      </w:r>
      <w:r w:rsidRPr="00746A19">
        <w:t xml:space="preserve">aggiornato ed approvato dal </w:t>
      </w:r>
      <w:proofErr w:type="spellStart"/>
      <w:r w:rsidRPr="00746A19">
        <w:t>CdA</w:t>
      </w:r>
      <w:proofErr w:type="spellEnd"/>
      <w:r w:rsidRPr="00746A19">
        <w:t xml:space="preserve"> in data 10.10.2018.</w:t>
      </w:r>
    </w:p>
    <w:p w14:paraId="1CBAD784" w14:textId="458ABE7F" w:rsidR="00E46B44" w:rsidRDefault="00746A19" w:rsidP="009745CF">
      <w:pPr>
        <w:jc w:val="both"/>
        <w:rPr>
          <w:u w:val="single"/>
        </w:rPr>
      </w:pPr>
      <w:r w:rsidRPr="00746A19">
        <w:t>Il riferimento al Codice Etico viene sempre riportato nelle clausole contrattuale regolarmente siglate</w:t>
      </w:r>
      <w:r>
        <w:t xml:space="preserve"> </w:t>
      </w:r>
      <w:r w:rsidRPr="00746A19">
        <w:t>con i fornitori.</w:t>
      </w:r>
    </w:p>
    <w:p w14:paraId="4FA7C237" w14:textId="77777777" w:rsidR="002965BF" w:rsidRDefault="002965BF" w:rsidP="00E46B44">
      <w:pPr>
        <w:rPr>
          <w:u w:val="single"/>
        </w:rPr>
      </w:pPr>
    </w:p>
    <w:p w14:paraId="46EAA304" w14:textId="77777777" w:rsidR="00E46B44" w:rsidRDefault="00E46B44" w:rsidP="00380B17">
      <w:pPr>
        <w:pStyle w:val="Titolo2"/>
      </w:pPr>
      <w:bookmarkStart w:id="34" w:name="_Toc67837134"/>
      <w:r>
        <w:t>Misure specifiche di regolamentazione</w:t>
      </w:r>
      <w:bookmarkEnd w:id="34"/>
    </w:p>
    <w:p w14:paraId="327CB5E8" w14:textId="77777777" w:rsidR="00E46B44" w:rsidRDefault="00E46B44" w:rsidP="00E46B44">
      <w:pPr>
        <w:rPr>
          <w:u w:val="single"/>
        </w:rPr>
      </w:pPr>
    </w:p>
    <w:p w14:paraId="33848F92" w14:textId="77777777" w:rsidR="00746A19" w:rsidRPr="00746A19" w:rsidRDefault="00746A19" w:rsidP="00227621">
      <w:pPr>
        <w:jc w:val="both"/>
      </w:pPr>
      <w:r w:rsidRPr="00746A19">
        <w:t>Sono state adottate le seguenti misure specifiche di regolamentazione: -adozione Rating di Legalità;</w:t>
      </w:r>
    </w:p>
    <w:p w14:paraId="7F8491C7" w14:textId="19A7BDEA" w:rsidR="00746A19" w:rsidRPr="00746A19" w:rsidRDefault="00746A19" w:rsidP="00227621">
      <w:pPr>
        <w:jc w:val="both"/>
      </w:pPr>
      <w:r w:rsidRPr="00746A19">
        <w:t>-adozione Regolamento per acquisti sottosoglia comunitaria; -adozione Regolamento DEC e DL; -</w:t>
      </w:r>
    </w:p>
    <w:p w14:paraId="1BD972E9" w14:textId="77777777" w:rsidR="00746A19" w:rsidRPr="00746A19" w:rsidRDefault="00746A19" w:rsidP="00227621">
      <w:pPr>
        <w:jc w:val="both"/>
      </w:pPr>
      <w:r w:rsidRPr="00746A19">
        <w:t>adozione Regolamento per il reclutamento del personale; -adozione Regolamento per l’istituzione</w:t>
      </w:r>
    </w:p>
    <w:p w14:paraId="001A129D" w14:textId="77777777" w:rsidR="00746A19" w:rsidRPr="00746A19" w:rsidRDefault="00746A19" w:rsidP="00227621">
      <w:pPr>
        <w:jc w:val="both"/>
      </w:pPr>
      <w:r w:rsidRPr="00746A19">
        <w:t>e la gestione dell’Albo dei Fornitori; - adozione Regolamento per il funzionamento del Comitato di</w:t>
      </w:r>
    </w:p>
    <w:p w14:paraId="16ACB67F" w14:textId="7CB82433" w:rsidR="00E46B44" w:rsidRDefault="00746A19" w:rsidP="00227621">
      <w:pPr>
        <w:jc w:val="both"/>
      </w:pPr>
      <w:r w:rsidRPr="00746A19">
        <w:t>Indirizzo Strategico e di controllo analogo; -adozione Regolamento Organismo di Vigilanza</w:t>
      </w:r>
      <w:r w:rsidR="00534429">
        <w:t>; -</w:t>
      </w:r>
      <w:r w:rsidR="00534429" w:rsidRPr="00534429">
        <w:t xml:space="preserve"> </w:t>
      </w:r>
      <w:r w:rsidR="00534429" w:rsidRPr="00746A19">
        <w:t xml:space="preserve">adozione Regolamento </w:t>
      </w:r>
      <w:r w:rsidR="00534429">
        <w:t>accesso agli atti; -</w:t>
      </w:r>
      <w:r w:rsidR="00534429" w:rsidRPr="00534429">
        <w:t xml:space="preserve"> </w:t>
      </w:r>
      <w:r w:rsidR="00534429" w:rsidRPr="00746A19">
        <w:t>adozione Regolamento</w:t>
      </w:r>
      <w:r w:rsidR="00534429">
        <w:t xml:space="preserve"> WHISTLEBLOWING</w:t>
      </w:r>
      <w:r w:rsidRPr="00746A19">
        <w:t>.</w:t>
      </w:r>
    </w:p>
    <w:p w14:paraId="0AEC4FF0" w14:textId="1F50E3CC" w:rsidR="00746A19" w:rsidRDefault="00746A19" w:rsidP="00746A19"/>
    <w:p w14:paraId="7AE1E91F" w14:textId="77777777" w:rsidR="00E46B44" w:rsidRDefault="00E46B44" w:rsidP="00380B17">
      <w:pPr>
        <w:pStyle w:val="Titolo2"/>
      </w:pPr>
      <w:bookmarkStart w:id="35" w:name="_Toc67837135"/>
      <w:r w:rsidRPr="00380B17">
        <w:t>Misure</w:t>
      </w:r>
      <w:r>
        <w:t xml:space="preserve"> specifiche di semplificazione</w:t>
      </w:r>
      <w:bookmarkEnd w:id="35"/>
    </w:p>
    <w:p w14:paraId="47B932F0" w14:textId="77777777" w:rsidR="00E46B44" w:rsidRDefault="00E46B44" w:rsidP="00E46B44"/>
    <w:p w14:paraId="26E3F196" w14:textId="77777777" w:rsidR="00E46B44" w:rsidRDefault="00E46B44" w:rsidP="00E46B44">
      <w:r>
        <w:t>Non sono state programmate misure specifiche di semplificazione.</w:t>
      </w:r>
    </w:p>
    <w:p w14:paraId="2ABC7EB5" w14:textId="77777777" w:rsidR="00746A19" w:rsidRDefault="00746A19" w:rsidP="00E46B44"/>
    <w:p w14:paraId="4FF42130" w14:textId="77777777" w:rsidR="00E46B44" w:rsidRDefault="00E46B44" w:rsidP="00E46B44">
      <w:pPr>
        <w:pStyle w:val="Titolo2"/>
      </w:pPr>
      <w:bookmarkStart w:id="36" w:name="_Toc67837136"/>
      <w:r>
        <w:t>Misure specifiche di formazione</w:t>
      </w:r>
      <w:bookmarkEnd w:id="36"/>
    </w:p>
    <w:p w14:paraId="63AA0FEB" w14:textId="77777777" w:rsidR="00E46B44" w:rsidRDefault="00E46B44" w:rsidP="00E46B44"/>
    <w:p w14:paraId="0E319047" w14:textId="2992F79A" w:rsidR="00E46B44" w:rsidRDefault="00E46B44" w:rsidP="00746A19">
      <w:r>
        <w:t>Con riferimento all’attuazione delle misure specifiche di formazione, nell’anno di riferimento delle misure di prevenzione della corruzione si evidenzia quanto segue:</w:t>
      </w:r>
      <w:r>
        <w:br/>
        <w:t xml:space="preserve">  -  Numero di misure programmate: 4</w:t>
      </w:r>
      <w:r>
        <w:br/>
        <w:t xml:space="preserve">  -  Numero di misure attuate nei tempi previsti: 4</w:t>
      </w:r>
      <w:r>
        <w:br/>
        <w:t xml:space="preserve">  -  Numero di misure non attuate: 0</w:t>
      </w:r>
      <w:r>
        <w:br/>
      </w:r>
      <w:r>
        <w:br/>
      </w:r>
      <w:r w:rsidRPr="00746A19">
        <w:rPr>
          <w:b/>
          <w:bCs/>
        </w:rPr>
        <w:t>Area di rischio: A. Acquisizione e progressione del personale</w:t>
      </w:r>
      <w:r w:rsidRPr="00746A19">
        <w:rPr>
          <w:b/>
          <w:bCs/>
        </w:rPr>
        <w:br/>
      </w:r>
      <w:r>
        <w:t>Denominazione misura: CORSI DI AGGIORNAMENTO</w:t>
      </w:r>
      <w:r>
        <w:br/>
        <w:t>La misura è stata attuata nei tempi previsti.</w:t>
      </w:r>
      <w:r>
        <w:br/>
      </w:r>
      <w:r>
        <w:br/>
      </w:r>
      <w:r w:rsidRPr="00746A19">
        <w:rPr>
          <w:b/>
          <w:bCs/>
        </w:rPr>
        <w:t>Area di rischio: D.3 Contratti pubblici - Selezione del contraente</w:t>
      </w:r>
      <w:r w:rsidRPr="00746A19">
        <w:rPr>
          <w:b/>
          <w:bCs/>
        </w:rPr>
        <w:br/>
      </w:r>
      <w:r>
        <w:t>Denominazione misura: CORSI DI AGGIORNAMENTO</w:t>
      </w:r>
      <w:r>
        <w:br/>
        <w:t>La misura è stata attuata nei tempi previsti.</w:t>
      </w:r>
      <w:r>
        <w:br/>
      </w:r>
      <w:r>
        <w:br/>
      </w:r>
      <w:r w:rsidRPr="00746A19">
        <w:rPr>
          <w:b/>
          <w:bCs/>
        </w:rPr>
        <w:t>Area di rischio: D.4 Contratti pubblici - Verifica dell’aggiudicazione e stipula del contratto</w:t>
      </w:r>
      <w:r w:rsidRPr="00746A19">
        <w:rPr>
          <w:b/>
          <w:bCs/>
        </w:rPr>
        <w:br/>
      </w:r>
      <w:r>
        <w:t>Denominazione misura: CORSI DI AGGIORNAMENTO</w:t>
      </w:r>
      <w:r>
        <w:br/>
        <w:t>La misura è stata attuata nei tempi previsti.</w:t>
      </w:r>
      <w:r>
        <w:br/>
      </w:r>
      <w:r>
        <w:br/>
      </w:r>
      <w:r w:rsidRPr="00746A19">
        <w:rPr>
          <w:b/>
          <w:bCs/>
        </w:rPr>
        <w:t>Area di rischio: D.5 Contratti pubblici - Esecuzione</w:t>
      </w:r>
      <w:r w:rsidRPr="00746A19">
        <w:rPr>
          <w:b/>
          <w:bCs/>
        </w:rPr>
        <w:br/>
      </w:r>
      <w:r>
        <w:t>Denominazione misura: CORSI DI AGGIORNAMENTO</w:t>
      </w:r>
      <w:r>
        <w:br/>
        <w:t>La misura è stata attuata nei tempi previsti.</w:t>
      </w:r>
    </w:p>
    <w:p w14:paraId="15E3D1AC" w14:textId="0B28DD20" w:rsidR="00E46B44" w:rsidRDefault="00E46B44" w:rsidP="00E46B44"/>
    <w:p w14:paraId="5FEF714C" w14:textId="77777777" w:rsidR="00E46B44" w:rsidRDefault="00E46B44" w:rsidP="00380B17">
      <w:pPr>
        <w:pStyle w:val="Titolo2"/>
      </w:pPr>
      <w:bookmarkStart w:id="37" w:name="_Toc67837137"/>
      <w:r>
        <w:lastRenderedPageBreak/>
        <w:t>Misure specifiche di rotazione</w:t>
      </w:r>
      <w:bookmarkEnd w:id="37"/>
    </w:p>
    <w:p w14:paraId="69474EA2" w14:textId="77777777" w:rsidR="007A698D" w:rsidRPr="007A698D" w:rsidRDefault="007A698D" w:rsidP="002965BF">
      <w:pPr>
        <w:rPr>
          <w:sz w:val="18"/>
          <w:szCs w:val="18"/>
        </w:rPr>
      </w:pPr>
    </w:p>
    <w:p w14:paraId="74E14D60" w14:textId="271EF26F" w:rsidR="002965BF" w:rsidRPr="007A698D" w:rsidRDefault="00E46B44" w:rsidP="002965BF">
      <w:pPr>
        <w:rPr>
          <w:sz w:val="20"/>
          <w:szCs w:val="20"/>
        </w:rPr>
      </w:pPr>
      <w:r>
        <w:t>Con riferimento all’attuazione delle misure specifiche di rotazione, nell’anno di riferimento delle misure di prevenzione della corruzione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 xml:space="preserve">Sono state attuati i seguenti tipi di rotazione: </w:t>
      </w:r>
      <w:r>
        <w:br/>
        <w:t xml:space="preserve">  - Rotazione delle “pratiche”</w:t>
      </w:r>
      <w:r>
        <w:br/>
        <w:t xml:space="preserve">  - Rotazione nella stessa società </w:t>
      </w:r>
      <w:r w:rsidR="00227621">
        <w:t>del personale Igiene Ambientale.</w:t>
      </w:r>
      <w:r>
        <w:br/>
      </w:r>
    </w:p>
    <w:p w14:paraId="4626FA60" w14:textId="42B112F7" w:rsidR="006B3267" w:rsidRPr="006B3267" w:rsidRDefault="00E46B44" w:rsidP="002965BF">
      <w:pPr>
        <w:rPr>
          <w:b/>
          <w:bCs/>
        </w:rPr>
      </w:pPr>
      <w:r w:rsidRPr="006B3267">
        <w:rPr>
          <w:b/>
          <w:bCs/>
        </w:rPr>
        <w:t>Area di rischio: D.3 Contratti pubblici - Selezione del contraente</w:t>
      </w:r>
    </w:p>
    <w:p w14:paraId="5DAEB058" w14:textId="296530F9" w:rsidR="006B3267" w:rsidRDefault="00E46B44" w:rsidP="006B3267">
      <w:pPr>
        <w:jc w:val="both"/>
      </w:pPr>
      <w:r>
        <w:t>Denominazione misura: ASM si impegna ad operare nel rispetto di procedure che individuino distintamente le seguenti fasi procedurali: a) istruttoria, b) decisione, c) attuazione, d) verifica, dando rilevanza al principio della segregazione delle funzioni/distinzione delle competenze.</w:t>
      </w:r>
      <w:r>
        <w:br/>
        <w:t>La misura è stata attuata nei tempi previsti.</w:t>
      </w:r>
    </w:p>
    <w:p w14:paraId="7164FED1" w14:textId="77777777" w:rsidR="006B3267" w:rsidRDefault="00E46B44" w:rsidP="006B3267">
      <w:pPr>
        <w:jc w:val="both"/>
      </w:pPr>
      <w:r w:rsidRPr="007A698D">
        <w:rPr>
          <w:sz w:val="20"/>
          <w:szCs w:val="20"/>
        </w:rPr>
        <w:br/>
      </w:r>
      <w:r w:rsidRPr="006B3267">
        <w:rPr>
          <w:b/>
          <w:bCs/>
        </w:rPr>
        <w:t>Area di rischio: D.4 Contratti pubblici - Verifica dell’aggiudicazione e stipula del contratto</w:t>
      </w:r>
    </w:p>
    <w:p w14:paraId="1E649D76" w14:textId="77777777" w:rsidR="006B3267" w:rsidRDefault="00E46B44" w:rsidP="006B3267">
      <w:pPr>
        <w:jc w:val="both"/>
      </w:pPr>
      <w:r>
        <w:t>Denominazione misura: ASM si impegna ad operare nel rispetto di procedure che individuino distintamente le seguenti fasi procedurali: a) istruttoria, b) decisione, c) attuazione, d) verifica, dando rilevanza al principio della segregazione delle funzioni/distinzione delle competenze.</w:t>
      </w:r>
      <w:r>
        <w:br/>
        <w:t>La misura è stata attuata nei tempi previsti.</w:t>
      </w:r>
    </w:p>
    <w:p w14:paraId="24BA3102" w14:textId="38E02D6A" w:rsidR="006B3267" w:rsidRDefault="00E46B44" w:rsidP="006B3267">
      <w:pPr>
        <w:jc w:val="both"/>
      </w:pPr>
      <w:r w:rsidRPr="007A698D">
        <w:rPr>
          <w:sz w:val="20"/>
          <w:szCs w:val="20"/>
        </w:rPr>
        <w:br/>
      </w:r>
      <w:r w:rsidRPr="006B3267">
        <w:rPr>
          <w:b/>
          <w:bCs/>
        </w:rPr>
        <w:t xml:space="preserve">Area di rischio: D.5 Contratti pubblici </w:t>
      </w:r>
      <w:r w:rsidR="006B3267">
        <w:rPr>
          <w:b/>
          <w:bCs/>
        </w:rPr>
        <w:t>–</w:t>
      </w:r>
      <w:r w:rsidRPr="006B3267">
        <w:rPr>
          <w:b/>
          <w:bCs/>
        </w:rPr>
        <w:t xml:space="preserve"> Esecuzione</w:t>
      </w:r>
    </w:p>
    <w:p w14:paraId="794F16EE" w14:textId="4EEA2404" w:rsidR="00E46B44" w:rsidRDefault="00E46B44" w:rsidP="006B3267">
      <w:pPr>
        <w:jc w:val="both"/>
      </w:pPr>
      <w:r>
        <w:t>Denominazione misura: ASM si impegna ad operare nel rispetto di procedure che individuino distintamente le seguenti fasi procedurali: a) istruttoria, b) decisione, c) attuazione, d) verifica, dando rilevanza al principio della segregazione delle funzioni/distinzione delle competenze.</w:t>
      </w:r>
      <w:r>
        <w:br/>
        <w:t>La misura è stata attuata nei tempi previsti.</w:t>
      </w:r>
    </w:p>
    <w:p w14:paraId="0774892B" w14:textId="77777777" w:rsidR="00227621" w:rsidRPr="007A698D" w:rsidRDefault="00227621" w:rsidP="006B3267">
      <w:pPr>
        <w:jc w:val="both"/>
        <w:rPr>
          <w:sz w:val="18"/>
          <w:szCs w:val="18"/>
        </w:rPr>
      </w:pPr>
    </w:p>
    <w:p w14:paraId="64384998" w14:textId="77777777" w:rsidR="00E46B44" w:rsidRDefault="00E46B44" w:rsidP="00380B17">
      <w:pPr>
        <w:pStyle w:val="Titolo2"/>
      </w:pPr>
      <w:bookmarkStart w:id="38" w:name="_Toc67837138"/>
      <w:r>
        <w:t>Misure specifiche di disciplina del conflitto di interessi</w:t>
      </w:r>
      <w:bookmarkEnd w:id="38"/>
    </w:p>
    <w:p w14:paraId="5E6C45AD" w14:textId="77777777" w:rsidR="00E46B44" w:rsidRPr="007A698D" w:rsidRDefault="00E46B44" w:rsidP="00E46B44">
      <w:pPr>
        <w:rPr>
          <w:sz w:val="18"/>
          <w:szCs w:val="18"/>
        </w:rPr>
      </w:pPr>
    </w:p>
    <w:p w14:paraId="2A11E26B" w14:textId="77777777" w:rsidR="0033205A" w:rsidRDefault="00E46B44" w:rsidP="0033205A">
      <w:pPr>
        <w:jc w:val="both"/>
      </w:pPr>
      <w:r>
        <w:t>Con riferimento all’attuazione delle misure specifiche di disciplina del conflitto di interessi, nell’anno di riferimento delle misure di prevenzione della corruzione si evidenzia quanto segue:</w:t>
      </w:r>
    </w:p>
    <w:p w14:paraId="29C9A4E6" w14:textId="1CBEF6B0" w:rsidR="0033205A" w:rsidRDefault="00E46B44" w:rsidP="007A698D">
      <w:r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</w:r>
      <w:r w:rsidRPr="0033205A">
        <w:rPr>
          <w:b/>
          <w:bCs/>
        </w:rPr>
        <w:t>Area di rischio: A. Acquisizione e progressione del personale</w:t>
      </w:r>
      <w:r w:rsidRPr="0033205A">
        <w:rPr>
          <w:b/>
          <w:bCs/>
        </w:rPr>
        <w:br/>
      </w:r>
      <w:r>
        <w:t>Denominazione misura: dichiarazione riguardante il conflitto di interesse e l’impegno ad astenersi dalle decisioni; in tal caso deve essere data immediata comunicazione al RPCT che valuterà le azioni da intraprendere.</w:t>
      </w:r>
      <w:r>
        <w:br/>
        <w:t>La misura è stata attuata nei tempi previsti.</w:t>
      </w:r>
      <w:r>
        <w:br/>
      </w:r>
    </w:p>
    <w:p w14:paraId="7AB9E88B" w14:textId="37C7DCC7" w:rsidR="00E46B44" w:rsidRDefault="00E46B44" w:rsidP="007A698D">
      <w:r w:rsidRPr="0033205A">
        <w:rPr>
          <w:b/>
          <w:bCs/>
        </w:rPr>
        <w:t>Area di rischio: D.4 Contratti pubblici - Verifica dell’aggiudicazione e stipula del contratto</w:t>
      </w:r>
      <w:r w:rsidRPr="0033205A">
        <w:rPr>
          <w:b/>
          <w:bCs/>
        </w:rPr>
        <w:br/>
      </w:r>
      <w:r>
        <w:t>Denominazione misura: dichiarazione riguardante il conflitto di interesse e l’impegno ad astenersi dalle decisioni; in tal caso deve essere data immediata comunicazione al RPCT che valuterà le azioni da intraprendere.</w:t>
      </w:r>
      <w:r>
        <w:br/>
        <w:t>La misura è stata attuata nei tempi previsti.</w:t>
      </w:r>
    </w:p>
    <w:sectPr w:rsidR="00E46B44" w:rsidSect="0004795A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DB2C" w14:textId="77777777" w:rsidR="006B07D9" w:rsidRDefault="006B07D9" w:rsidP="00424EBB">
      <w:r>
        <w:separator/>
      </w:r>
    </w:p>
  </w:endnote>
  <w:endnote w:type="continuationSeparator" w:id="0">
    <w:p w14:paraId="4FA1A62E" w14:textId="77777777" w:rsidR="006B07D9" w:rsidRDefault="006B07D9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CFE991" w14:textId="77777777" w:rsidR="00F22960" w:rsidRDefault="00F2296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2405C34" w14:textId="77777777" w:rsidR="00F22960" w:rsidRDefault="00F2296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6CB5" w14:textId="77777777" w:rsidR="00F22960" w:rsidRPr="00380B17" w:rsidRDefault="00F22960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46B3" w14:textId="77777777" w:rsidR="006B07D9" w:rsidRDefault="006B07D9" w:rsidP="00424EBB">
      <w:r>
        <w:separator/>
      </w:r>
    </w:p>
  </w:footnote>
  <w:footnote w:type="continuationSeparator" w:id="0">
    <w:p w14:paraId="616F5574" w14:textId="77777777" w:rsidR="006B07D9" w:rsidRDefault="006B07D9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6C70E17"/>
    <w:multiLevelType w:val="multilevel"/>
    <w:tmpl w:val="59FA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16258">
    <w:abstractNumId w:val="11"/>
  </w:num>
  <w:num w:numId="2" w16cid:durableId="685403063">
    <w:abstractNumId w:val="47"/>
  </w:num>
  <w:num w:numId="3" w16cid:durableId="35200086">
    <w:abstractNumId w:val="44"/>
  </w:num>
  <w:num w:numId="4" w16cid:durableId="1687711210">
    <w:abstractNumId w:val="37"/>
  </w:num>
  <w:num w:numId="5" w16cid:durableId="280455956">
    <w:abstractNumId w:val="13"/>
  </w:num>
  <w:num w:numId="6" w16cid:durableId="186530353">
    <w:abstractNumId w:val="23"/>
  </w:num>
  <w:num w:numId="7" w16cid:durableId="1836992251">
    <w:abstractNumId w:val="7"/>
  </w:num>
  <w:num w:numId="8" w16cid:durableId="2055957316">
    <w:abstractNumId w:val="20"/>
  </w:num>
  <w:num w:numId="9" w16cid:durableId="1528979451">
    <w:abstractNumId w:val="5"/>
  </w:num>
  <w:num w:numId="10" w16cid:durableId="1277524171">
    <w:abstractNumId w:val="22"/>
  </w:num>
  <w:num w:numId="11" w16cid:durableId="1104156964">
    <w:abstractNumId w:val="4"/>
  </w:num>
  <w:num w:numId="12" w16cid:durableId="1466465154">
    <w:abstractNumId w:val="40"/>
  </w:num>
  <w:num w:numId="13" w16cid:durableId="820539080">
    <w:abstractNumId w:val="12"/>
  </w:num>
  <w:num w:numId="14" w16cid:durableId="178786404">
    <w:abstractNumId w:val="24"/>
  </w:num>
  <w:num w:numId="15" w16cid:durableId="493255146">
    <w:abstractNumId w:val="10"/>
  </w:num>
  <w:num w:numId="16" w16cid:durableId="1326787904">
    <w:abstractNumId w:val="29"/>
  </w:num>
  <w:num w:numId="17" w16cid:durableId="1594632081">
    <w:abstractNumId w:val="25"/>
  </w:num>
  <w:num w:numId="18" w16cid:durableId="1140998203">
    <w:abstractNumId w:val="17"/>
  </w:num>
  <w:num w:numId="19" w16cid:durableId="622200512">
    <w:abstractNumId w:val="43"/>
  </w:num>
  <w:num w:numId="20" w16cid:durableId="53509185">
    <w:abstractNumId w:val="14"/>
  </w:num>
  <w:num w:numId="21" w16cid:durableId="982078054">
    <w:abstractNumId w:val="36"/>
  </w:num>
  <w:num w:numId="22" w16cid:durableId="450050220">
    <w:abstractNumId w:val="6"/>
  </w:num>
  <w:num w:numId="23" w16cid:durableId="1605186109">
    <w:abstractNumId w:val="21"/>
  </w:num>
  <w:num w:numId="24" w16cid:durableId="1634677339">
    <w:abstractNumId w:val="27"/>
  </w:num>
  <w:num w:numId="25" w16cid:durableId="653797213">
    <w:abstractNumId w:val="19"/>
  </w:num>
  <w:num w:numId="26" w16cid:durableId="1943761552">
    <w:abstractNumId w:val="39"/>
  </w:num>
  <w:num w:numId="27" w16cid:durableId="824904052">
    <w:abstractNumId w:val="35"/>
  </w:num>
  <w:num w:numId="28" w16cid:durableId="1304890352">
    <w:abstractNumId w:val="34"/>
  </w:num>
  <w:num w:numId="29" w16cid:durableId="1617056375">
    <w:abstractNumId w:val="28"/>
  </w:num>
  <w:num w:numId="30" w16cid:durableId="1843472584">
    <w:abstractNumId w:val="41"/>
  </w:num>
  <w:num w:numId="31" w16cid:durableId="672756633">
    <w:abstractNumId w:val="9"/>
  </w:num>
  <w:num w:numId="32" w16cid:durableId="1730037257">
    <w:abstractNumId w:val="1"/>
  </w:num>
  <w:num w:numId="33" w16cid:durableId="870193603">
    <w:abstractNumId w:val="8"/>
  </w:num>
  <w:num w:numId="34" w16cid:durableId="97415048">
    <w:abstractNumId w:val="2"/>
  </w:num>
  <w:num w:numId="35" w16cid:durableId="1388843590">
    <w:abstractNumId w:val="15"/>
  </w:num>
  <w:num w:numId="36" w16cid:durableId="1417098158">
    <w:abstractNumId w:val="26"/>
  </w:num>
  <w:num w:numId="37" w16cid:durableId="1127240477">
    <w:abstractNumId w:val="0"/>
  </w:num>
  <w:num w:numId="38" w16cid:durableId="897933418">
    <w:abstractNumId w:val="3"/>
  </w:num>
  <w:num w:numId="39" w16cid:durableId="241447443">
    <w:abstractNumId w:val="18"/>
  </w:num>
  <w:num w:numId="40" w16cid:durableId="589433728">
    <w:abstractNumId w:val="32"/>
  </w:num>
  <w:num w:numId="41" w16cid:durableId="687025978">
    <w:abstractNumId w:val="38"/>
  </w:num>
  <w:num w:numId="42" w16cid:durableId="990642427">
    <w:abstractNumId w:val="42"/>
  </w:num>
  <w:num w:numId="43" w16cid:durableId="4852497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46951715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7476972">
    <w:abstractNumId w:val="31"/>
  </w:num>
  <w:num w:numId="46" w16cid:durableId="1364935641">
    <w:abstractNumId w:val="33"/>
  </w:num>
  <w:num w:numId="47" w16cid:durableId="1197162378">
    <w:abstractNumId w:val="45"/>
  </w:num>
  <w:num w:numId="48" w16cid:durableId="46446903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03A4"/>
    <w:rsid w:val="00013A0E"/>
    <w:rsid w:val="0001458D"/>
    <w:rsid w:val="00017231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56B5D"/>
    <w:rsid w:val="0006198E"/>
    <w:rsid w:val="00076A27"/>
    <w:rsid w:val="00076EAE"/>
    <w:rsid w:val="00082F11"/>
    <w:rsid w:val="000853EE"/>
    <w:rsid w:val="000855A4"/>
    <w:rsid w:val="00090EDC"/>
    <w:rsid w:val="000A1E8A"/>
    <w:rsid w:val="000A5AE5"/>
    <w:rsid w:val="000B09AD"/>
    <w:rsid w:val="000B5396"/>
    <w:rsid w:val="000C2E6C"/>
    <w:rsid w:val="000C3E65"/>
    <w:rsid w:val="000C5548"/>
    <w:rsid w:val="000E0884"/>
    <w:rsid w:val="000E5907"/>
    <w:rsid w:val="0010188D"/>
    <w:rsid w:val="0010373D"/>
    <w:rsid w:val="00106422"/>
    <w:rsid w:val="0011180E"/>
    <w:rsid w:val="0011675C"/>
    <w:rsid w:val="001202D6"/>
    <w:rsid w:val="00121F5F"/>
    <w:rsid w:val="00127F54"/>
    <w:rsid w:val="001617DC"/>
    <w:rsid w:val="00163130"/>
    <w:rsid w:val="0016579A"/>
    <w:rsid w:val="00167F5A"/>
    <w:rsid w:val="0017516A"/>
    <w:rsid w:val="001759A1"/>
    <w:rsid w:val="001760C6"/>
    <w:rsid w:val="0018606E"/>
    <w:rsid w:val="00186D05"/>
    <w:rsid w:val="001A17C7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0392"/>
    <w:rsid w:val="00214959"/>
    <w:rsid w:val="002205E8"/>
    <w:rsid w:val="00227621"/>
    <w:rsid w:val="00234BAF"/>
    <w:rsid w:val="00244756"/>
    <w:rsid w:val="00252986"/>
    <w:rsid w:val="00252BF1"/>
    <w:rsid w:val="0026292B"/>
    <w:rsid w:val="00271094"/>
    <w:rsid w:val="002712B8"/>
    <w:rsid w:val="002751BC"/>
    <w:rsid w:val="00286E4E"/>
    <w:rsid w:val="002965BF"/>
    <w:rsid w:val="00297E89"/>
    <w:rsid w:val="002A0EC3"/>
    <w:rsid w:val="002A40F1"/>
    <w:rsid w:val="002B2E2A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1ADD"/>
    <w:rsid w:val="003037AC"/>
    <w:rsid w:val="003039BD"/>
    <w:rsid w:val="00304BBA"/>
    <w:rsid w:val="00315210"/>
    <w:rsid w:val="00315976"/>
    <w:rsid w:val="003266EA"/>
    <w:rsid w:val="00327AC7"/>
    <w:rsid w:val="0033205A"/>
    <w:rsid w:val="003351F3"/>
    <w:rsid w:val="00345AF1"/>
    <w:rsid w:val="00350FA6"/>
    <w:rsid w:val="0035543D"/>
    <w:rsid w:val="00364749"/>
    <w:rsid w:val="00371349"/>
    <w:rsid w:val="003723FF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E56AA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6D21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699E"/>
    <w:rsid w:val="004E7C55"/>
    <w:rsid w:val="004F0FA6"/>
    <w:rsid w:val="004F567A"/>
    <w:rsid w:val="00512D29"/>
    <w:rsid w:val="00526AFF"/>
    <w:rsid w:val="00532C1C"/>
    <w:rsid w:val="00534429"/>
    <w:rsid w:val="00553787"/>
    <w:rsid w:val="005612C0"/>
    <w:rsid w:val="00573C15"/>
    <w:rsid w:val="005745AF"/>
    <w:rsid w:val="0057461B"/>
    <w:rsid w:val="0057770A"/>
    <w:rsid w:val="0057783A"/>
    <w:rsid w:val="00577960"/>
    <w:rsid w:val="00587CC9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01A0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B07D9"/>
    <w:rsid w:val="006B3267"/>
    <w:rsid w:val="006D3C1D"/>
    <w:rsid w:val="006D748D"/>
    <w:rsid w:val="006E15E6"/>
    <w:rsid w:val="006E6889"/>
    <w:rsid w:val="006F1CD0"/>
    <w:rsid w:val="006F503B"/>
    <w:rsid w:val="006F62FF"/>
    <w:rsid w:val="006F6C25"/>
    <w:rsid w:val="006F7329"/>
    <w:rsid w:val="00711900"/>
    <w:rsid w:val="007327A8"/>
    <w:rsid w:val="0073409C"/>
    <w:rsid w:val="00746A19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698D"/>
    <w:rsid w:val="007A755F"/>
    <w:rsid w:val="007B1F5D"/>
    <w:rsid w:val="007B4261"/>
    <w:rsid w:val="007B5212"/>
    <w:rsid w:val="007D2B12"/>
    <w:rsid w:val="007D3B4C"/>
    <w:rsid w:val="007D65E3"/>
    <w:rsid w:val="007E5878"/>
    <w:rsid w:val="007E5E8C"/>
    <w:rsid w:val="007F4D58"/>
    <w:rsid w:val="00800E37"/>
    <w:rsid w:val="00804DC2"/>
    <w:rsid w:val="00832AF8"/>
    <w:rsid w:val="008348FB"/>
    <w:rsid w:val="0083587B"/>
    <w:rsid w:val="00835EB6"/>
    <w:rsid w:val="0083766D"/>
    <w:rsid w:val="00843542"/>
    <w:rsid w:val="008460F3"/>
    <w:rsid w:val="00846D97"/>
    <w:rsid w:val="008665D0"/>
    <w:rsid w:val="0086724C"/>
    <w:rsid w:val="008720AB"/>
    <w:rsid w:val="0087364D"/>
    <w:rsid w:val="00874237"/>
    <w:rsid w:val="00884807"/>
    <w:rsid w:val="008B01CC"/>
    <w:rsid w:val="008B0415"/>
    <w:rsid w:val="008B0566"/>
    <w:rsid w:val="008B5D3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14B"/>
    <w:rsid w:val="0094645F"/>
    <w:rsid w:val="0094698A"/>
    <w:rsid w:val="00950D2E"/>
    <w:rsid w:val="009723F0"/>
    <w:rsid w:val="009745CF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526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506F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021"/>
    <w:rsid w:val="00AF74A7"/>
    <w:rsid w:val="00B02123"/>
    <w:rsid w:val="00B0359D"/>
    <w:rsid w:val="00B057F9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83FFD"/>
    <w:rsid w:val="00B96D6A"/>
    <w:rsid w:val="00BA0D1F"/>
    <w:rsid w:val="00BA2140"/>
    <w:rsid w:val="00BB2FAB"/>
    <w:rsid w:val="00BC0BA9"/>
    <w:rsid w:val="00BC3EBB"/>
    <w:rsid w:val="00BD2256"/>
    <w:rsid w:val="00BD52B3"/>
    <w:rsid w:val="00BE39BE"/>
    <w:rsid w:val="00BE6A7A"/>
    <w:rsid w:val="00BF11EF"/>
    <w:rsid w:val="00BF47F7"/>
    <w:rsid w:val="00C079A9"/>
    <w:rsid w:val="00C16C8B"/>
    <w:rsid w:val="00C2322D"/>
    <w:rsid w:val="00C24FE3"/>
    <w:rsid w:val="00C31231"/>
    <w:rsid w:val="00C37249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948F1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0A07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6775D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868"/>
    <w:rsid w:val="00DE59C3"/>
    <w:rsid w:val="00DE67A4"/>
    <w:rsid w:val="00DF06C3"/>
    <w:rsid w:val="00DF1025"/>
    <w:rsid w:val="00DF29DC"/>
    <w:rsid w:val="00DF5CF1"/>
    <w:rsid w:val="00E0612A"/>
    <w:rsid w:val="00E12944"/>
    <w:rsid w:val="00E14E76"/>
    <w:rsid w:val="00E27F25"/>
    <w:rsid w:val="00E32EE5"/>
    <w:rsid w:val="00E35AB9"/>
    <w:rsid w:val="00E422F7"/>
    <w:rsid w:val="00E43272"/>
    <w:rsid w:val="00E46B44"/>
    <w:rsid w:val="00E51B31"/>
    <w:rsid w:val="00E549DF"/>
    <w:rsid w:val="00E61F2F"/>
    <w:rsid w:val="00E66D94"/>
    <w:rsid w:val="00E75EA4"/>
    <w:rsid w:val="00E80390"/>
    <w:rsid w:val="00E81316"/>
    <w:rsid w:val="00E85C95"/>
    <w:rsid w:val="00E85D64"/>
    <w:rsid w:val="00E86504"/>
    <w:rsid w:val="00E90418"/>
    <w:rsid w:val="00E918CE"/>
    <w:rsid w:val="00EA4532"/>
    <w:rsid w:val="00EB2FD4"/>
    <w:rsid w:val="00EB5720"/>
    <w:rsid w:val="00EB5EE3"/>
    <w:rsid w:val="00ED1C10"/>
    <w:rsid w:val="00EE28F4"/>
    <w:rsid w:val="00EE4DA4"/>
    <w:rsid w:val="00EF1E74"/>
    <w:rsid w:val="00EF3921"/>
    <w:rsid w:val="00F124D4"/>
    <w:rsid w:val="00F219A1"/>
    <w:rsid w:val="00F22960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C43BA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9B6B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  <w:style w:type="character" w:styleId="Menzionenonrisolta">
    <w:name w:val="Unresolved Mention"/>
    <w:basedOn w:val="Carpredefinitoparagrafo"/>
    <w:uiPriority w:val="99"/>
    <w:semiHidden/>
    <w:unhideWhenUsed/>
    <w:rsid w:val="0012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magen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Domenica Contartese</cp:lastModifiedBy>
  <cp:revision>8</cp:revision>
  <cp:lastPrinted>2022-01-31T08:19:00Z</cp:lastPrinted>
  <dcterms:created xsi:type="dcterms:W3CDTF">2023-01-12T16:42:00Z</dcterms:created>
  <dcterms:modified xsi:type="dcterms:W3CDTF">2023-01-13T11:06:00Z</dcterms:modified>
</cp:coreProperties>
</file>